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7B_87/2024 vom 8. Juli 2024</w:t>
      </w:r>
    </w:p>
    <w:p>
      <w:r>
        <w:t>Bundesgericht, 2024-07-08, DE</w:t>
      </w:r>
    </w:p>
    <w:p>
      <w:r>
        <w:rPr>
          <w:b/>
        </w:rPr>
        <w:t xml:space="preserve">Quelle: </w:t>
      </w:r>
      <w:r>
        <w:t>https://mcp.opencaselaw.ch/entscheid/bger_7B_87_2024</w:t>
      </w:r>
    </w:p>
    <w:p>
      <w:r>
        <w:t>FR: TF 7B_87/2024 du 8 juillet 2024</w:t>
      </w:r>
    </w:p>
    <w:p>
      <w:r>
        <w:t>IT: TF 7B_87/2024 del 8 luglio 2024</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w:t>
      </w:r>
    </w:p>
    <w:p>
      <w:r>
        <w:t>Richtet sich die Beschwerde gegen die Einstellung oder Nichtanhandnahme eines Verfahrens oder aber - wie hier - gegen eine Sistierung als vorläufige Einstellung einer Strafuntersuchung bzw. Einstellung prozessualer Natur (so zutreffend zur Rechtsnatur der Sistierung SABINE GLESS, Verfahrenserledigungen ohne Urteil: Pragmatismus und Gerechtigkeit, ZStrR 127/2009 S. 379; André Vogelsang, in: Basler Kommentar, Schweizerische Strafprozessordnung, 3. Aufl. 2023, N. 5 f. zu Art. 314 StPO ), hat die Privatklägerschaft - also diejenige Person, welche durch die Straftat in ihren Rechten unmittelbar verletzt worden ist, und sich am Strafverfahren als Straf- oder Zivilklägerin beteiligt (Art. 115 Abs. 1 i.V.m. Art. 118 StPO ) -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auf sie nur eingetreten werden, wenn aufgrund der Natur der untersuchten Straftat ohne Weiteres ersichtlich ist, um welche Zivilforderungen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(Urteile 7B_38/2023 vom 25. April 2024 E. 1.1; 7B_182/2024 vom 26. März 2024 E. 2.1.2).</w:t>
      </w:r>
    </w:p>
    <w:p>
      <w:r>
        <w:t>Die Beschwerdeführerin geht mit keinem Wort auf ihre Beschwerdelegitimation, geschweige denn auf die (keineswegs augenfällige) Auswirkung des angefochtenen Entscheids auf mögliche Zivilforderungen ein. Damit kann auf die Beschwerde grundsätzlich nicht eingetreten werden.</w:t>
      </w:r>
    </w:p>
    <w:p>
      <w:r>
        <w:rPr>
          <w:b/>
        </w:rPr>
        <w:t>E. 1.2</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(sog. "Star-Praxis"; BGE 146 IV 76 E. 2; 141 IV 1 E. 1.1; je mit Hinweisen).</w:t>
      </w:r>
    </w:p>
    <w:p>
      <w:r>
        <w:t>Die Beschwerdeführerin macht zwar geltend, es liege eine formelle Rechtsverweigerung vor (Rz. 12 der Beschwerde), begründet dies aber mit einer angeblichen Verletzung des "Beschleunigungsverbots in Strafsachen", indem "die Sistierungsdauer vom nicht vorhersehbaren Tätigwerden der Luxemburger Untersuchungsbehörden abhängig gemacht" werde. Ihre Rüge beschlägt somit gerade nicht ihre Berechtigung, am Verfahren teilzunehmen (vgl. BGE 138 IV 78 E. 1.3 mit Hinweisen), sondern zielt vielmehr auf eine materielle Überprüfung des vorläufigen Einstellungsentscheids ab. Damit ist sie nicht zu hören. Abgesehen davon übersieht die Beschwerdeführerin mit dieser Rüge auch, dass Anspruch auf Verfahrensbeschleunigung primär beschuldigte Personen haben und die Privatklägerschaft nur in geringerem Masse (vgl. Urteil 1B_66/2020 vom 2. Dezember 2020 E. 3.1 mit Hinweis). Wieso in der vorliegenden Konstellation, in der nicht einmal die Auswirkung des angefochtenen Entscheids auf allfällige Zivilforderungen ersichtlich, geschweige denn dargetan ist, die Privatklägerin ein besonderes Interesse an einer Verfahrensbeschleunigung haben soll, ist nicht nachvollziehbar.</w:t>
      </w:r>
    </w:p>
    <w:p>
      <w:r>
        <w:rPr>
          <w:b/>
        </w:rPr>
        <w:t>E. 2</w:t>
      </w:r>
    </w:p>
    <w:p>
      <w:r>
        <w:t>Die Beschwerde erweist sich als unzulässig.</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