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7B_878/2025 vom 17. November 2025</w:t>
      </w:r>
    </w:p>
    <w:p>
      <w:r>
        <w:t>Bundesgericht, 2025-11-17, DE</w:t>
      </w:r>
    </w:p>
    <w:p>
      <w:r>
        <w:rPr>
          <w:b/>
        </w:rPr>
        <w:t xml:space="preserve">Quelle: </w:t>
      </w:r>
      <w:r>
        <w:t>https://mcp.opencaselaw.ch/entscheid/bger_7B_878_2025</w:t>
      </w:r>
    </w:p>
    <w:p>
      <w:r>
        <w:t>FR: TF 7B_878/2025 du 17 novembre 2025</w:t>
      </w:r>
    </w:p>
    <w:p>
      <w:r>
        <w:t>IT: TF 7B_878/2025 del 17 novembre 2025</w:t>
      </w:r>
    </w:p>
    <w:p>
      <w:pPr>
        <w:pStyle w:val="Heading2"/>
      </w:pPr>
      <w:r>
        <w:t>Erwägungen</w:t>
      </w:r>
    </w:p>
    <w:p>
      <w:r>
        <w:rPr>
          <w:b/>
        </w:rPr>
        <w:t>E. 1</w:t>
      </w:r>
    </w:p>
    <w:p>
      <w:r>
        <w:t>Mit Schreiben vom 13. Juni 2023 erstattete A.________ bei der Staatsanwaltschaft des Kantons Schaffhausen Strafanzeige gegen B.________ wegen falscher Anschuldigung. Die Staatsanwaltschaft eröffnete ein Verfahren und erliess am 4. Dezember 2024 eine Einstellungsverfügung. Die dagegen erhobene Beschwerde wies das Obergericht des Kantons Schaffhausen mit Entscheid vom 31. Juli 2025 ab. A.________ gelangt mit Beschwerde in Strafsachen ans Bundesgericht und beantragt, der Entscheid des Obergerichts sei aufzuheben und die Sache sei zu weiteren Ermittlungen sowie zum Erlass eines Strafbefehls oder zur Anklageerhebung an die Staatsanwaltschaft zurückzuweisen.</w:t>
      </w:r>
    </w:p>
    <w:p>
      <w:r>
        <w:rPr>
          <w:b/>
        </w:rPr>
        <w:t>E. 2.1</w:t>
      </w:r>
    </w:p>
    <w:p>
      <w:r>
        <w:t>Gemäss Art. 81 Abs. 1 lit. b Ziff. 5 BGG ist die Privatklägerschaft zur Beschwerde in Strafsachen nur berechtigt, wenn sich der angefochtene Entscheid auf die Beurteilung ihrer Zivilansprüche auswirken kann. Zivilansprüche im Sinne dieser Bestimmung sind unmittelbar aus der Straftat resultierende und vor den Zivilgerichten geltend zu machende Forderungen, in erster Linie solche auf Schadenersatz und Genugtuung nach Art. 41 ff. OR ( BGE 146 IV 76 E. 3.1; 141 IV 1 E. 1.1; Urteile 7B_1236/2024 vom 25. Juni 2025 E. 1.2.1; je mit Hinweisen).</w:t>
      </w:r>
    </w:p>
    <w:p>
      <w:r>
        <w:t>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 Leitet die Privatklägerschaft Genugtuungsansprüche aus Persönlichkeitsverletzungen ( Art. 28a Abs. 3 ZGB in Verbindung mit Art. 49 Abs. 1 OR )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7B_1236/2024 vom 25. Juni 2025 E. 1.2.2; 7B_563/2024 vom 31. März 2025 E. 1.1.3; 7B_727/2023 vom 27. Januar 2025 E. 1.1; je mit Hinweisen). Leichte Persönlichkeitsverletzungen, wie beispielsweise vernachlässigbare Ehrverletzungen, rechtfertigen keine finanzielle Genugtuung (Urteile 7B_727/2023 vom 27. Januar 2025 E. 1.1; 7B_93/2024 vom 14. Mai 2024 E. 1.3; 7B_78/2023 vom 15. Januar 2024 E. 1.2).</w:t>
      </w:r>
    </w:p>
    <w:p>
      <w:r>
        <w:t>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w:t>
      </w:r>
    </w:p>
    <w:p>
      <w:r>
        <w:rPr>
          <w:b/>
        </w:rPr>
        <w:t>E. 2.2</w:t>
      </w:r>
    </w:p>
    <w:p>
      <w:r>
        <w:t>Zur Begründung seiner Beschwerdelegitimation führt der Beschwerdeführer aus, der Tatbestand der falschen Anschuldigung schütze auch die Persönlichkeitsrechte zu Unrecht Angeschuldigter mit Bezug auf deren Ehre, Freiheit, Privatsphäre, Vermögen usw. Im Falle einer Verurteilung der Beschwerdegegnerin 2 werde er "somit erfolgreich Zivilforderungen gegen sie geltend machen können". Konkret zu denken sei dabei an die Kosten seiner Verteidigung im Verfahren in Deutschland sowie an eine Genugtuung für den in Zusammenhang mit der Anzeige der Beschwerdegegnerin 2 "entstandenen Stress, den der Beschwerdeführer seit Jahren erdulden muss und der ihn psychisch sehr mitnimmt".</w:t>
      </w:r>
    </w:p>
    <w:p>
      <w:r>
        <w:t>Mit diesen Ausführungen vermag der Beschwerdeführer seine Sachlegitimation nicht hinreichend darzutun. Soweit er aus dem angezeigten Delikt eine Schadenersatzforderung ableiten will, legt er die konkreten Anspruchsvoraussetzungen von Art. 41 Abs. 1 OR nicht dar. Insbesondere wird der ihm mutmasslich entstandene Schaden nicht beziffert und fehlen jegliche Ausführungen zur Kausalität zwischen dem Verhalten der Beschwerdegegnerin 2 und einem allfälligen Schaden. Auch ein möglicher Genugtuungsanspruch wird nicht näher begründet. In der Beschwerde wird namentlich nicht aufgezeigt, inwiefern die zivilrechtlichen Anspruchsvoraussetzungen einer Persönlichkeitsverletzung erfüllt sein sollen. Ferner ist nicht ersichtlich, dass die Anzeige der Beschwerdegegnerin 2 unmittelbar zu einer so starken Beeinträchtigung der körperlichen, psychischen oder sexuellen Integrität des Beschwerdeführers geführt hat, dass sich daraus ohne Weiteres ein Anspruch auf Schadenersatz oder Genugtuung ergeben könnte. Es besteht vorliegend kein Anlass, von den strengen Begründungsanforderungen abzuweichen.</w:t>
      </w:r>
    </w:p>
    <w:p>
      <w:r>
        <w:rPr>
          <w:b/>
        </w:rPr>
        <w:t>E. 2.3</w:t>
      </w:r>
    </w:p>
    <w:p>
      <w:r>
        <w:t>Ungeachtet der Legitimation in der Sache selbst kann die Privatklägerschaft vor Bundesgericht eine Verletzung von Verfahrensrechten rügen, deren Missachtung eine formelle Rechtsverweigerung darstellt und die von der Prüfung der Sache getrennt werden kann. Das geforderte rechtlich geschützte Interesse ergibt sich diesfalls aus der Berechtigung, am Verfahren teilzunehmen (sog. "Star-Praxis"; BGE 146 IV 76 E. 2; 141 IV 1 E. 1.1; 138 IV 78 E. 1.3; je mit Hinweisen). Solche formellen Einwendungen trägt der Beschwerdeführer nicht vor, weshalb auch unter diesem Titel nicht auf die Beschwerde einzutreten ist.</w:t>
      </w:r>
    </w:p>
    <w:p>
      <w:r>
        <w:rPr>
          <w:b/>
        </w:rPr>
        <w:t>E. 3</w:t>
      </w:r>
    </w:p>
    <w:p>
      <w:r>
        <w:t>Auf die Beschwerde ist zufolge offensichtlich nicht hinreichender Begründung der Legitimation im vereinfachten Verfahren nach Art. 108 BGG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