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7B_877/2024 vom 16. Oktober 2024</w:t>
      </w:r>
    </w:p>
    <w:p>
      <w:r>
        <w:t>Bundesgericht, 2024-10-16, FR</w:t>
      </w:r>
    </w:p>
    <w:p>
      <w:r>
        <w:rPr>
          <w:b/>
        </w:rPr>
        <w:t xml:space="preserve">Quelle: </w:t>
      </w:r>
      <w:r>
        <w:t>https://mcp.opencaselaw.ch/entscheid/bger_7B_877_2024</w:t>
      </w:r>
    </w:p>
    <w:p>
      <w:r>
        <w:t>FR: TF 7B_877/2024 du 16 octobre 2024</w:t>
      </w:r>
    </w:p>
    <w:p>
      <w:r>
        <w:t>IT: TF 7B_877/2024 del 16 ottobre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 cour cantonale a considéré que la demande de récusation du 7 juin 2024 était tardive, en tant qu'elle était fondée sur une autre procédure en 2012 et que le recourant avait omis d'invoquer cet élément au début de l'instruction ouverte par la magistrate visée plus d'une dizaine d'années plus tard (cf. arrêt attaqué, consid. 3 p. 5 s.).</w:t>
      </w:r>
    </w:p>
    <w:p>
      <w:r>
        <w:rPr>
          <w:b/>
        </w:rPr>
        <w:t>E. 1.3</w:t>
      </w:r>
    </w:p>
    <w:p>
      <w:r>
        <w:t>Face à la motivation cantonale, le recourant se borne à relever que, si sa requête était "irrecevable car hors-délai", il aurait été préférable qu'elle soit jugée comme telle d'emblée et ainsi de minimiser les frais. Ce faisant, il échoue à démontrer, par une motivation conforme aux exigences en la matière, que l'autorité précédente ait violé le droit fédéral en déclarant irrecevable sa demande de récusation, voire en mettant à sa charge les frais de décision arrêtés à 660 francs.</w:t>
      </w:r>
    </w:p>
    <w:p>
      <w:r>
        <w:t>Il en va de même de tout autre moyen que le recourant semble invoquer quant à des réquisitions de preuves qui auraient été rejetées, ainsi que de tout développement en lien avec la présomption d'innocence.</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