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7B_86/2022 vom 13. Juli 2023</w:t>
      </w:r>
    </w:p>
    <w:p>
      <w:r>
        <w:t>Bundesgericht, 2023-07-13, DE</w:t>
      </w:r>
    </w:p>
    <w:p>
      <w:r>
        <w:rPr>
          <w:b/>
        </w:rPr>
        <w:t xml:space="preserve">Quelle: </w:t>
      </w:r>
      <w:r>
        <w:t>https://mcp.opencaselaw.ch/entscheid/bger_7B_86_2022</w:t>
      </w:r>
    </w:p>
    <w:p>
      <w:r>
        <w:t>FR: TF 7B_86/2022 du 13 juillet 2023</w:t>
      </w:r>
    </w:p>
    <w:p>
      <w:r>
        <w:t>IT: TF 7B_86/2022 del 13 luglio 2023</w:t>
      </w:r>
    </w:p>
    <w:p>
      <w:pPr>
        <w:pStyle w:val="Heading2"/>
      </w:pPr>
      <w:r>
        <w:t>Erwägungen</w:t>
      </w:r>
    </w:p>
    <w:p>
      <w:r>
        <w:rPr>
          <w:b/>
        </w:rPr>
        <w:t>E. 1</w:t>
      </w:r>
    </w:p>
    <w:p>
      <w:r>
        <w:t>Angefochten ist ein kantonal letztinstanzlicher strafprozessualer Zwischenentscheid. Gemäss Art. 35a des Reglementes vom 20. November 2006 für das Bundesgericht (SR 173.110.131, Art. 35a eingefügt durch Ziff. I der V des BG vom 27. April 2023, in Kraft seit 1. Juli 2023, AS 2023 268) behandelt die Zweite strafrechtliche Abteilung des Bundesgerichtes die Beschwerden in Strafsachen sowie Beschwerden in öffentlich-rechtlichen Angelegenheiten und subsidiäre Verfassungsbeschwerden in Strafsachen betreffend Entscheide des Straf- und Massnahmenvollzuges (lit. a), strafprozessuale Zwischenentscheide (lit. b) sowie Nichtanhandnahmeverfügungen und Verfahrenseinstellungen (lit. c).</w:t>
      </w:r>
    </w:p>
    <w:p>
      <w:r>
        <w:rPr>
          <w:b/>
        </w:rPr>
        <w:t>E. 2</w:t>
      </w:r>
    </w:p>
    <w:p>
      <w:r>
        <w:t>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Die Staatsanwaltschaft, welche die elektronischen Aufzeichnungen durchsuchen und beschlagnahmen will, muss dann beim ZMG ein Entsiegelungsgesuch stellen ( BGE 144 IV 74 E. 2.4; 143 IV 270 E. 4.6; 140 IV 181 E. 2.4 und E. 2.10; je mit Hinweisen).</w:t>
      </w:r>
    </w:p>
    <w:p>
      <w:r>
        <w:rPr>
          <w:b/>
        </w:rPr>
        <w:t>E. 3</w:t>
      </w:r>
    </w:p>
    <w:p>
      <w:r>
        <w:t>Angefochten ist ein kantonal letztinstanzlicher Entsiegelungsentscheid ( Art. 80 Abs. 2 Satz 3 BGG i.V.m. Art. 248 Abs. 3 StPO ). Zu prüfen ist, ob und inwieweit die gesetzlichen Sachurteilsvoraussetzungen erfüllt sind ( Art. 78 ff. BGG ). Das Bundesgericht beurteilt diese Frage von Amtes wegen und mit freier Kognition (Art. 29 Abs. 1 und Art. 106 Abs. 1 i.V.m. Art. 42 Abs. 1-2 BGG ; BGE 145 I 239 E. 2; 142 IV 196 E. 1.1; je mit Hinweisen).</w:t>
      </w:r>
    </w:p>
    <w:p>
      <w:r>
        <w:rPr>
          <w:b/>
        </w:rPr>
        <w:t>E. 3.1</w:t>
      </w:r>
    </w:p>
    <w:p>
      <w:r>
        <w:t>Der angefochtene Entscheid schliesst das Strafverfahren nicht ab. 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141 IV 289 E. 1.1-1.2 mit Hinweisen; nicht amtl. publ. E. 1 von BGE 144 IV 74 , E. 2.1 von BGE 143 IV 270 , und E. 2 von BGE 142 IV 207 ).</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Zwangsmassnahmengericht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141 IV 77 E. 4.3, E. 5.5.3 und E. 5.6 S. 87; 138 IV 225 E. 7.1; 137 IV 189 E. 4.2 und E. 5.3.3; nicht amtl. publ. E. 6 von BGE 144 IV 74 ).</w:t>
      </w:r>
    </w:p>
    <w:p>
      <w:r>
        <w:t>Die Sachurteilsvoraussetzungen der Beschwerde in Strafsachen an das Bundesgericht sind in der Beschwerdeschrift ausreichend zu substanziieren, soweit sie nicht offensichtlich erfüllt erscheinen ( Art. 42 Abs. 1-2 BGG ; BGE 141 IV 1 E. 1.1; 284 E. 2.3; 289 E. 1.3; je mit Hinweisen). Pauschale Hinweise auf angebliche Privatgeheimnisse genügen nach ständiger Praxis des Bundesgerichtes nicht zur Substanziierung von konkreten schutzwürdigen Geheimnisinteressen (Urteile 1B_534/2022 vom 5. Juni 2023 E. 2; 1B_208/2021 vom 17. Januar 2022 E. 3.2-3.4; 1B_28/2021 vom 4. November 2021 E. 1.8; 1B_427/2020 vom 19. Mai 2021 E. 1.2; 1B_423/2019 vom 5. März 2020 E. 1.4; 1B_153/2019 vom 11. Dezember 2019 E. 1.6; 1B_2/2019 vom 11. Juli 2019 E. 2; 1B_196/2018 vom 26. November 2018 E. 1.3-1.5; je mit Hinweisen).</w:t>
      </w:r>
    </w:p>
    <w:p>
      <w:r>
        <w:rPr>
          <w:b/>
        </w:rPr>
        <w:t>E. 3.2</w:t>
      </w:r>
    </w:p>
    <w:p>
      <w:r>
        <w:t>Schon im vorinstanzlichen Verfahren hat das ZMG festgestellt, dass die Vorbringen des Beschwerdeführers zu den tangierten Geheimnisrechten zu pauschal und zu wenig substanziiert waren. Er habe es insbesondere versäumt, "die Namen seiner privaten Kontaktpersonen und die Speicherorte der jeweiligen Korrespondenz bzw. des Bild- und Videomaterials auf seinen iPhones zu bezeichnen" (angefochtener Entscheid, E. 5.4 S. 10).</w:t>
      </w:r>
    </w:p>
    <w:p>
      <w:r>
        <w:t>Zum Sachurteilserfordernis des nicht wieder gutzumachenden Rechtsnachteils ( Art. 93 Abs. 1 lit. a BGG ) macht der anwaltlich vertretene Beschwerdeführer vor Bundesgericht geltend, auf den sichergestellten Mobiltelefonen befinde sich "persönliche Korrespondenz, welche den Beschwerdeführer und unbeteiligte Dritte zeigen". Es handle sich dabei um "höchstpersönliche Aufzeichnungen im Sinne von Art. 264 Abs. 1 lit. b StPO ". Er berufe sich "mithin auf besondere Geheimhaltungsinteressen". Nach der oben (E. 3.1) dargelegten ständigen Rechtsprechung genügen solche pauschalen Vorbringen nicht zur Substanziierung von gesetzlich geschützten eigenen Geheimnisinteressen. Ein drohender nicht wieder gutzumachender Rechtsnachteil wird damit nicht dargetan (Art. 93 Abs. 1 lit. a i.V.m. Art. 42 Abs. 1-2 BGG und Art. 248 Abs. 1 StPO ).</w:t>
      </w:r>
    </w:p>
    <w:p>
      <w:r>
        <w:rPr>
          <w:b/>
        </w:rPr>
        <w:t>E. 4</w:t>
      </w:r>
    </w:p>
    <w:p>
      <w:r>
        <w:t>Auf die Beschwerde ist nicht einzutreten.</w:t>
      </w:r>
    </w:p>
    <w:p>
      <w:r>
        <w:t>Das Gesuch des Beschwerdeführers um unentgeltliche Rechtspflege ist wegen Aussichtslosigkeit der Beschwerde abzuweisen ( Art. 64 Abs. 1 BGG ).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