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7B_867/2023 vom 19. Dezember 2023</w:t>
      </w:r>
    </w:p>
    <w:p>
      <w:r>
        <w:t>Bundesgericht, 2023-12-19, DE</w:t>
      </w:r>
    </w:p>
    <w:p>
      <w:r>
        <w:rPr>
          <w:b/>
        </w:rPr>
        <w:t xml:space="preserve">Quelle: </w:t>
      </w:r>
      <w:r>
        <w:t>https://mcp.opencaselaw.ch/entscheid/bger_7B_867_2023</w:t>
      </w:r>
    </w:p>
    <w:p>
      <w:r>
        <w:t>FR: TF 7B_867/2023 du 19 décembre 2023</w:t>
      </w:r>
    </w:p>
    <w:p>
      <w:r>
        <w:t>IT: TF 7B_867/2023 del 19 dicembre 2023</w:t>
      </w:r>
    </w:p>
    <w:p>
      <w:pPr>
        <w:pStyle w:val="Heading2"/>
      </w:pPr>
      <w:r>
        <w:t>Erwägungen</w:t>
      </w:r>
    </w:p>
    <w:p>
      <w:r>
        <w:rPr>
          <w:b/>
        </w:rPr>
        <w:t>E. 1</w:t>
      </w:r>
    </w:p>
    <w:p>
      <w:r>
        <w:t>Die Staatsanwaltschaft des Kantons Luzern führt eine Straf-untersuchung gegen A.________ wegen unbefugten Aufnehmens von Gesprächen, Verletzung des Geheim- oder Privatbereichs durch Aufnahmegeräte, Nötigung sowie unerlaubter Selbsthilfe. Die Staatsanwaltschaft erliess am 13. Juli 2023 einen Beschlagnahmebefehl und stellte in der Folge anlässlich der Befragung von A.________ am 1. September 2023 dessen Mobiltelefon sicher. Gegen den Beschlagnahmebefehl erhob A.________ Beschwerde an das Kantonsgericht Luzern, welches mit Verfügung vom 24. Oktober 2023 mangels hinreichender Begründung nicht auf die Beschwerde eintrat.</w:t>
      </w:r>
    </w:p>
    <w:p>
      <w:r>
        <w:t>Mit Eingabe vom 7. November 2023 führt A.________ Beschwerde in Strafsachen an das Bundesgericht und beantragt, die angefochtene Verfügung des Kantonsgerichts sei aufzuheben und das beschlagnahmte Handy sei ihm unverzüglich herauszugeben sowie Schadenersatz und Genugtuung zu leisten. 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die gerügten Grundrechte verstossen soll.</w:t>
      </w:r>
    </w:p>
    <w:p>
      <w:r>
        <w:t>Der Beschwerdeführer setzt sich mit der Begründung des Nichteintretensentscheids des Kantonsgerichts nicht nachvollziehbar auseinander. Stattdessen übt er auf appellatorische Weise Kritik am Entscheid und legt seine Sicht der Dinge dar. Er macht insbesondere Ausführungen zum angeblich fehlenden Tatverdacht und damit einhergehend Ausführungen zu der seiner Ansicht nach fehlenden Strafbarkeit. Diese Behauptungen versucht er durch "Fakten" zu untermauern, die sein rechtmässiges Handeln aufzeigen sollen. Damit legt der Beschwerdeführer indessen nicht rechtsgenüglich dar, weshalb die Vorinstanz zu Unrecht nicht auf seine Beschwerde eingetreten ist bzw. inwiefern durch die der ausführlich begründeten Verfügung zugrunde liegende Begründung bzw. durch die Nichteintretensverfügung selbst im Ergebnis Recht im Sinne von Art. 42 Abs. 2 BGG verletzt worden sein soll. Daran ändert denn auch sein nicht einschlägiger Verweis auf das allgemeine Beweisverwertungsverbot nichts.</w:t>
      </w:r>
    </w:p>
    <w:p>
      <w:r>
        <w:t>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3</w:t>
      </w:r>
    </w:p>
    <w:p>
      <w:r>
        <w:t>Bei diesem Ausgang des Verfahrens sind die Gerichtskosten dem Beschwerdeführer aufzuerlegen ( Art. 66 Abs. 1 BGG ). Sein Gesuch um unentgeltliche Rechtspflege ist abzuweisen ( Art. 64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