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7B_866/2025 vom 24. November 2025</w:t>
      </w:r>
    </w:p>
    <w:p>
      <w:r>
        <w:t>Bundesgericht, 2025-11-24, DE</w:t>
      </w:r>
    </w:p>
    <w:p>
      <w:r>
        <w:rPr>
          <w:b/>
        </w:rPr>
        <w:t xml:space="preserve">Quelle: </w:t>
      </w:r>
      <w:r>
        <w:t>https://mcp.opencaselaw.ch/entscheid/bger_7B_866_2025</w:t>
      </w:r>
    </w:p>
    <w:p>
      <w:r>
        <w:t>FR: TF 7B_866/2025 du 24 novembre 2025</w:t>
      </w:r>
    </w:p>
    <w:p>
      <w:r>
        <w:t>IT: TF 7B_866/2025 del 24 novembre 2025</w:t>
      </w:r>
    </w:p>
    <w:p>
      <w:pPr>
        <w:pStyle w:val="Heading2"/>
      </w:pPr>
      <w:r>
        <w:t>Erwägungen</w:t>
      </w:r>
    </w:p>
    <w:p>
      <w:r>
        <w:rPr>
          <w:b/>
        </w:rPr>
        <w:t>E. 1</w:t>
      </w:r>
    </w:p>
    <w:p>
      <w:r>
        <w:t>Mit Verfügung vom 22. August 2025 wies das Obergericht des Kantons Zürich die Beschwerde des Beschwerdeführers gegen zwei Nichtanhandnahmeverfügungen des Statthalteramts des Bezirks Pfäffikon vom 17. Januar 2025 ab. Der Beschwerdeführer gelangte dagegen mit Beschwerde in Strafsachen vom 3. September 2025 (Postaufgabe), ergänzt durch eine Eingabe vom 5. September 2025, an das Bundesgericht.</w:t>
      </w:r>
    </w:p>
    <w:p>
      <w:r>
        <w:rPr>
          <w:b/>
        </w:rPr>
        <w:t>E. 2</w:t>
      </w:r>
    </w:p>
    <w:p>
      <w:r>
        <w:t>Die Beschwerde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 Formelle Rügen, zu deren Geltendmachung der Beschwerdeführer unbesehen der fehlenden Legitimation in der Sache berechtigt wäre, da sie namentlich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 Das Gesuch um aufschiebende Wirkung wird damit gegenstandslos.</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