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7B_865/2023 vom 20. Dezember 2023</w:t>
      </w:r>
    </w:p>
    <w:p>
      <w:r>
        <w:t>Bundesgericht, 2023-12-20, FR</w:t>
      </w:r>
    </w:p>
    <w:p>
      <w:r>
        <w:rPr>
          <w:b/>
        </w:rPr>
        <w:t xml:space="preserve">Quelle: </w:t>
      </w:r>
      <w:r>
        <w:t>https://mcp.opencaselaw.ch/entscheid/bger_7B_865_2023</w:t>
      </w:r>
    </w:p>
    <w:p>
      <w:r>
        <w:t>FR: TF 7B_865/2023 du 20 décembre 2023</w:t>
      </w:r>
    </w:p>
    <w:p>
      <w:r>
        <w:t>IT: TF 7B_865/2023 del 20 dicembre 2023</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En tant que, par avis du 16 octobre 2023, l'autorité précédente a notamment refusé de statuer, à titre préjudiciel, sur la recevabilité de la demande de levée de scellés et de constater la caractère inexploitable de certains moyens de preuve, elle a rendu une ordonnance au sens de l' art. 80 al. 1 CPP . Celle-ci ne met toutefois pas un terme à la procédure pénale, ni d'ailleurs à celle relative à la levée des scellés menée par le TMC (cf. art. 90 LTF ), et ne représente qu'une étape vers la décision finale (cf. arrêt 7B_178/2023 du 31 août 2023 consid. 1.1).</w:t>
      </w:r>
    </w:p>
    <w:p>
      <w:r>
        <w:rPr>
          <w:b/>
        </w:rPr>
        <w:t>E. 1.2</w:t>
      </w:r>
    </w:p>
    <w:p>
      <w:r>
        <w:t>L'ordonnance attaquée apparaît bien plutôt comme une décision incidente au sens de l' art. 93 LTF (cf. ATF 144 IV 127 consid. 1.3). Le recours en matière pénale n'est dès lors recevable qu'en présence d'un préjudice irréparable au sens de l' art. 93 al. 1 let. a LTF , l' art. 93 al. 1 let. b LTF n'étant en général pas applicable en matière pénale ( ATF 149 IV 205 consid. 1.2; 144 IV 127 consid. 1.3).</w:t>
      </w:r>
    </w:p>
    <w:p>
      <w:r>
        <w:t>Le recourant, qui ne conteste pas le caractère incident de l'ordonnance attaquée, invoque à ce propos un risque de préjudice irréparable au sens de l' art. 93 al. 1 let. a LTF . Se prévalant de l' art. 248 CPP , il soutient en substance que la procédure de mise sous scellés aurait été si gravement violée que ce vice ne pourrait être réparé que par l'irrecevabilité de la demande de levée de scellés et par la restitution immédiate des objets concernés à leur propriétaire.</w:t>
      </w:r>
    </w:p>
    <w:p>
      <w:r>
        <w:rPr>
          <w:b/>
        </w:rPr>
        <w:t>E. 1.3.1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1.3.2</w:t>
      </w:r>
    </w:p>
    <w:p>
      <w:r>
        <w:t>Le seul fait qu'un moyen de preuve dont la validité est contestée demeure au dossier ne constitue en principe pas un préjudice irréparable, dès lors qu'il est possible de renouveler ce grief jusqu'à la clôture définitive de la procédure. En particulier, la question de la validité des moyens de preuve peut être soumise au juge du fond ( art. 339 al. 2 let . d CPP), autorité dont il peut être attendu qu'elle soit en mesure de faire la distinction entre les moyens de preuve exploitables et ceux qui ne le seraient pas, puis de fonder son appréciation en conséquence (cf. arrêts 7B_178/2023 précité consid. 1.3.1; 1B_336/2023 du 27 juin 2023 consid. 2.1; 1B_452/2022 du 7 mars 2023 consid. 1.4). Les motifs retenus par le juge de première instance peuvent ensuite être contestés dans le cadre d'un appel (cf. art. 398 ss CPP ) et, en dernier ressort, le prévenu peut remettre en cause ce jugement devant le Tribunal fédéral ( art. 78 ss LTF ; ATF 144 IV 127 consid. 1.3.1; 143 IV 387 consid. 4.4).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rPr>
          <w:b/>
        </w:rPr>
        <w:t>E. 1.3.3</w:t>
      </w:r>
    </w:p>
    <w:p>
      <w:r>
        <w:t>En l'espèce, contrairement à ce que soutient le recourant, le caractère inexploitable des moyens de preuve litigieux ne s'impose pas d'emblée.</w:t>
      </w:r>
    </w:p>
    <w:p>
      <w:r>
        <w:t>Invoquant à cet égard une violation de l' art. 77 CPP en lien avec un défaut de documentation de l'apposition des scellés, le recourant n'établit pas - et on ne voit d'emblée pas - quelle règle de validité aurait été violée. Comme l'a relevé l'autorité précédente, il ne ressort en effet pas des dispositions du CPP, ni de la jurisprudence du Tribunal fédéral, que les autorités pénales seraient tenues de mentionner la date, l'heure et l'identité de la personne ayant procédé à la mise sous scellés, au risque de rendre les moyens de preuve concernés inexploitables.</w:t>
      </w:r>
    </w:p>
    <w:p>
      <w:r>
        <w:t>Le recourant affirme en outre que plusieurs indices laisseraient penser que les autorités de poursuite pénale auraient eu accès aux données contenues dans les supports informatiques mis sous scellés. Il se limite toutefois à alléguer qu'au vu de la notification reçue le 22 juillet 2023 sur son "Cloud" concernant un des IPhones séquestrés et du fait que deux des quatre baies du support NAS synology étaient en position ouverte lorsqu'il avait été sorti du carton par l'autorité précédente, il serait établi que la police aurait accédé aux données sur les supports en question. Ce faisant, le recourant ne tente pas de démontrer que la constatation des faits cantonale - selon laquelle la police n'avait pas accédé aux données sur les supports informatiques précités (cf. ordonnance attaquée, p. 2) - serait arbitraire. Il ne fait qu'opposer sa propre appréciation des preuves à celle de l'autorité précédente, dans une démarche appellatoire et partant irrecevable dans le recours en matière pénale.</w:t>
      </w:r>
    </w:p>
    <w:p>
      <w:r>
        <w:rPr>
          <w:b/>
        </w:rPr>
        <w:t>E. 1.3.4</w:t>
      </w:r>
    </w:p>
    <w:p>
      <w:r>
        <w:t>Dans ces circonstances, on ne discerne pas quel pourrait être l'intérêt juridiquement protégé du recourant qui justifierait le constat immédiat du caractère inexploitable des preuves en cause, permettant d'admettre exceptionnellement un risque de préjudice irréparable au sens de l' art. 93 al. 1 let. a LTF .</w:t>
      </w:r>
    </w:p>
    <w:p>
      <w:r>
        <w:rPr>
          <w:b/>
        </w:rPr>
        <w:t>E. 1.4</w:t>
      </w:r>
    </w:p>
    <w:p>
      <w:r>
        <w:t>Pour le surplus, en tant que le recourant soutient que la voie du recours serait également ouverte selon l' art. 93 al. 1 let. b LTF , il échoue à démontrer qu'il y aurait en l'espèce lieu de déroger à la jurisprudence constante selon laquelle cette dernière disposition n'est en général pas applicable en matière pénale (cf. consid. 1.2</w:t>
      </w:r>
    </w:p>
    <w:p>
      <w:r>
        <w:t>supra ).</w:t>
      </w:r>
    </w:p>
    <w:p>
      <w:r>
        <w:rPr>
          <w:b/>
        </w:rPr>
        <w:t>E. 1.5</w:t>
      </w:r>
    </w:p>
    <w:p>
      <w:r>
        <w:t>En définitive, le recours doit être déclaré irrecevable.</w:t>
      </w:r>
    </w:p>
    <w:p>
      <w:r>
        <w:rPr>
          <w:b/>
        </w:rPr>
        <w:t>E. 2</w:t>
      </w:r>
    </w:p>
    <w:p>
      <w:r>
        <w:t>Le recourant, qui succombe,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