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7B_864/2025 vom 24. November 2025</w:t>
      </w:r>
    </w:p>
    <w:p>
      <w:r>
        <w:t>Bundesgericht, 2025-11-24, DE</w:t>
      </w:r>
    </w:p>
    <w:p>
      <w:r>
        <w:rPr>
          <w:b/>
        </w:rPr>
        <w:t xml:space="preserve">Quelle: </w:t>
      </w:r>
      <w:r>
        <w:t>https://mcp.opencaselaw.ch/entscheid/bger_7B_864_2025</w:t>
      </w:r>
    </w:p>
    <w:p>
      <w:r>
        <w:t>FR: TF 7B_864/2025 du 24 novembre 2025</w:t>
      </w:r>
    </w:p>
    <w:p>
      <w:r>
        <w:t>IT: TF 7B_864/2025 del 24 novembre 2025</w:t>
      </w:r>
    </w:p>
    <w:p>
      <w:pPr>
        <w:pStyle w:val="Heading2"/>
      </w:pPr>
      <w:r>
        <w:t>Erwägungen</w:t>
      </w:r>
    </w:p>
    <w:p>
      <w:r>
        <w:rPr>
          <w:b/>
        </w:rPr>
        <w:t>E. 1</w:t>
      </w:r>
    </w:p>
    <w:p>
      <w:r>
        <w:t>Mit Beschluss vom 26. Juni 2025 wies das Obergericht des Kantons Bern die Beschwerde des Beschwerdeführers gegen die Nichtanhandnahmeverfügung der Regionalen Staatsanwaltschaft Bern-Mittelland vom 1. Oktober 2024 ab. Der Beschwerdeführer gelangte dagegen mit Beschwerde in Strafsachen vom 1. September 2025 (Postaufgabe) an das Bundesgericht.</w:t>
      </w:r>
    </w:p>
    <w:p>
      <w:r>
        <w:rPr>
          <w:b/>
        </w:rPr>
        <w:t>E. 2</w:t>
      </w:r>
    </w:p>
    <w:p>
      <w:r>
        <w:t>Die Beschwerde ist auf Französisch verfasst, was zulässig ist ( Art. 42 Abs. 1 BGG ). Das vorliegende Urteil ergeht in der Sprache des angefochtenen Beschlusses ( Art. 54 Abs. 1 BGG ).</w:t>
      </w:r>
    </w:p>
    <w:p>
      <w:r>
        <w:rPr>
          <w:b/>
        </w:rPr>
        <w:t>E. 3</w:t>
      </w:r>
    </w:p>
    <w:p>
      <w:r>
        <w:t>Die Eingabe vom 1. September 2025 ist mangels eines Zivilanspruchs, der dem Beschwerdeführer zustehen könnte (Art. 81 Abs. 1 lit. b Ziff. 5 BGG; BGE 146 IV 76 E. 3.1; 133 IV 228 E. 2.3.3 ; 131 I 455 E. 1.2.4; je mit Hinweisen; Art. 100 Abs. 1 und Art. 102 Abs. 1 des Personalgesetzes des Kantons Bern vom 16. September 2004 [BSG/BE 153.01] sowie Art. 454 Abs. 1 und 3 ZGB ; vgl. HAUSHEER/WEY, in: Basler Kommentar, Zivilgesetzbuch, 7. Aufl. 2022, N. 40 zu Art. 454 ZGB mit Hinweisen), offensichtlich unzulässig. Dass der Beschwerdeführer Opfer unzulässiger staatlicher Gewalt wurde, was ihn unbesehen davon zur Beschwerde berechtigen könnte ( BGE 141 IV 349 E. 3.4.2; 138 IV 86 E. 3.1.1; je mit Hinweisen), wird weder dargelegt ( Art. 42 Abs. 2 und Art. 106 Abs. 2 BGG ; BGE 148 IV 356 E. 2.1, 39 E. 2.3.5; 142 III 364 E. 2.4) noch ist dies angesichts des vom Beschwerdeführer zur Anzeige gebrachten Delikts (Ehrverletzung)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4</w:t>
      </w:r>
    </w:p>
    <w:p>
      <w:r>
        <w:t>Die Gerichtskosten sind dem Beschwerdeführer aufzuerlegen ( Art. 66 Abs. 1 BGG ). Das Gesuch um unentgeltliche Rechtspflege ist wegen offensichtlicher Aussichtslosigkeit der Begehren abzuweisen ( Art. 64 Abs. 1 BGG ). Die angebliche Bedürftigkeit blieb im Übrigen trotz entsprechender Aufforderung unbelegt.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