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864/2024 vom 30. Januar 2025</w:t>
      </w:r>
    </w:p>
    <w:p>
      <w:r>
        <w:t>Bundesgericht, 2025-01-30, FR</w:t>
      </w:r>
    </w:p>
    <w:p>
      <w:r>
        <w:rPr>
          <w:b/>
        </w:rPr>
        <w:t xml:space="preserve">Quelle: </w:t>
      </w:r>
      <w:r>
        <w:t>https://mcp.opencaselaw.ch/entscheid/bger_7B_864_2024</w:t>
      </w:r>
    </w:p>
    <w:p>
      <w:r>
        <w:t>FR: TF 7B 864/2024 du 30 janvier 2025</w:t>
      </w:r>
    </w:p>
    <w:p>
      <w:r>
        <w:t>IT: TF 7B 864/2024 del 30 gennaio 2025</w:t>
      </w:r>
    </w:p>
    <w:p>
      <w:pPr>
        <w:pStyle w:val="Heading2"/>
      </w:pPr>
      <w:r>
        <w:t>Regeste</w:t>
      </w:r>
    </w:p>
    <w:p>
      <w:r>
        <w:t>Récusation | Questions de compétences, garantie du juge du domicile et du ...</w:t>
      </w:r>
    </w:p>
    <w:p>
      <w:pPr>
        <w:pStyle w:val="Heading2"/>
      </w:pPr>
      <w:r>
        <w:t>Erwägungen</w:t>
      </w:r>
    </w:p>
    <w:p>
      <w:r>
        <w:rPr>
          <w:b/>
        </w:rPr>
        <w:t>E. 1</w:t>
      </w:r>
    </w:p>
    <w:p>
      <w:r>
        <w:t>Le Tribunal fédéral vérifie d'office sa compétence ( art. 29 al. 1 LTF ) et examine librement la recevabilité des recours qui lui sont soumis ( ATF 149 IV 9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1.2.1</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148 IV 205 consid. 2.6; 146 IV 297 consid. 1.2); la motivation doit être topique, c'est-à-dire se rapporter à la question juridique tranchée par l'autorité cantonale (cf. ATF 123 V 335 ; arrêt 6B_457/2024 du 21 juin 2024 consid. 2). De plus,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147 IV 73 consid. 4.1.2). Par ailleurs, l'objet de la contestation porté devant le Tribunal fédéral est déterminé par l'arrêt attaqué. L'objet du litige, délimité par les conclusions des parties ( art. 107 al. 1 LTF ), ne saurait s'étendre au-delà de l'objet de la contestation ( ATF 144 II 359 consid. 4.3; 142 I 155 consid. 4.4.2; arrêt 7B_438/2024 du 4 décembre 2024 consid. 1.3).</w:t>
      </w:r>
    </w:p>
    <w:p>
      <w:r>
        <w:rPr>
          <w:b/>
        </w:rPr>
        <w:t>E. 1.2.2</w:t>
      </w:r>
    </w:p>
    <w:p>
      <w:r>
        <w:t>En l'espèce, l'objet du litige est circonscrit à la question de la récusation du Procureur intimé. Or la majeure partie des conclusions du recourant ne concernent pas l'objet de cette contestation, sans que le recourant se plaigne de déni de justice à cet égard; elles s'avèrent dès lors irrecevables. Il en va ainsi de ses conclusions tendant à la mise en place d'une "enquête" externe, respectivement à la reddition d'un rapport du Procureur général vaudois (ch. 1 et 8), à un "moratoire de 2 ans" des communications avec l'État de Vaud et la fin des "sévices" (ch. 6 et 12), à la reconnaissance des harcèlements subis et de son statut de victime (ch. 2 et 5), au prononcé de sanctions disciplinaires (ch. 7) et à la fixation d'indemnités (ch. 9), ainsi qu'à des "excuses" des différentes juridictions (ch. 10 et 11); il en va de même de ses conclusions concernant la compétence des autorités pour traiter de sa plainte pénale (ch. 3 et 4). Dans ses écritures, le recourant soulève en outre pêle-mêle différentes critiques qui sortent également du cadre du litige. Il ne cherche en outre pas à exposer de manière claire et précise ses griefs comme il lui appartient de le faire. Une telle manière de procéder n'est pas conforme aux exigences de motivation (cf. art. 42 al. 2 et 106 al. 2 LTF), de sorte que ces griefs doivent également être écartés. Il en va notamment ainsi des critiques du recourant concernant la fixation du for dans le canton de Vaud (cf. recours, p. 12 ch. 6.e, p. 21 ch. 4 et 5, p. 23 ch. 17), la non-convocation du témoin E.________ à l'audience de conciliation (cf. recours p. 4 ch. 2, p. 12 ch. 6.e) ou le fond du litige (cf. recours p. 12 ch. 6.f).</w:t>
      </w:r>
    </w:p>
    <w:p>
      <w:r>
        <w:rPr>
          <w:b/>
        </w:rPr>
        <w:t>E. 1.2.3</w:t>
      </w:r>
    </w:p>
    <w:p>
      <w:r>
        <w:t>On se limitera en définitive à examiner les griefs intelligibles, motivés conformément aux prescriptions légales ( art. 42 al. 2 LTF , cf. sur ce point ATF 140 III 86 consid. 2, et art. 106 al. 2 LTF ) et qui n'apparaissent pas immédiatement irrecevables.</w:t>
      </w:r>
    </w:p>
    <w:p>
      <w:r>
        <w:rPr>
          <w:b/>
        </w:rPr>
        <w:t>E. 1.3</w:t>
      </w:r>
    </w:p>
    <w:p>
      <w:r>
        <w:t>Pour le surplus, le recours a été interjeté en temps utile ( art. 100 al. 1 LTF ), de sorte qu'il y a lieu d'entrer en matière. En revanche, les griefs soulevés par le recourant dans son courrier du 22 octobre 2024, postérieurs à l'échéance des délais de recours et de réplique, sont tardifs, de sorte qu'ils ne seront pas pris en considération (art. 100 al. 1 cum art. 47 al. 1 LTF ).</w:t>
      </w:r>
    </w:p>
    <w:p>
      <w:r>
        <w:rPr>
          <w:b/>
        </w:rPr>
        <w:t>E. 1.4</w:t>
      </w:r>
    </w:p>
    <w:p>
      <w:r>
        <w:t>Le recourant produit des pièces à l'appui de son recours et de ses écritures des 22 août, 2 et 16 septembre 2024, dont certaines sont nouvelles. Dès lors qu'il n'expose pas en quoi leur production serait admissible au regard de l' art. 99 al. 1 LTF , elles s'avèrent irrecevables (cf. ATF 143 V 19 consid. 1.2; arrêt 1B_30/2022 du 27 avril 2022 consid. 1.2).</w:t>
      </w:r>
    </w:p>
    <w:p>
      <w:r>
        <w:rPr>
          <w:b/>
        </w:rPr>
        <w:t>E. 2.1</w:t>
      </w:r>
    </w:p>
    <w:p>
      <w:r>
        <w:t>Le recourant fait en substance grief à la juridiction précédente d'avoir notifié la décision querellée en juillet 2024; cette notification au coeur de l'été ne lui aurait pas permis de disposer de l'entier du délai de recours devant le Tribunal fédéral.</w:t>
      </w:r>
    </w:p>
    <w:p>
      <w:r>
        <w:rPr>
          <w:b/>
        </w:rPr>
        <w:t>E. 2.2</w:t>
      </w:r>
    </w:p>
    <w:p>
      <w:r>
        <w:t>Le recourant - qui avait porté la cause devant la Chambre des recours pénale - se savait partie à une procédure judiciaire. Selon la jurisprudence constante, il devait dès lors s'attendre à recevoir notification d'actes du juge; il était par conséquent tenu de relever son courrier ou, s'il s'absentait de son domicile, de prendre des dispositions pour que celui-ci lui parvienne néanmoins (cf. not. ATF 146 IV 30 consid. 1.1.2; 141 II 429 consid. 3.1; 139 I 228 consid. 1.1; arrêt 6B_601/2024 du 2 octobre 2024 consid. 2.1.4). On ne voit en outre pas que les modalités de la notification seraient contraires aux prescriptions légales en la matière (cf. art. 84 ss CPP ) et le recourant ne le prétend d'ailleurs pas. En tout état, le recourant a formé son recours dans le délai légal (cf. art. 100 LTF ); il a en outre eu l'occasion de déposer des déterminations complémentaires. Enfin, on ne saurait faire grief à la juridiction précédente d'avoir fait preuve de célérité en statuant rapidement sur une demande de récusation. Le grief doit par conséquent être rejeté.</w:t>
      </w:r>
    </w:p>
    <w:p>
      <w:r>
        <w:rPr>
          <w:b/>
        </w:rPr>
        <w:t>E. 3.1</w:t>
      </w:r>
    </w:p>
    <w:p>
      <w:r>
        <w:t>Le recourant soutient en substance que le comportement adopté à son égard par le Procureur lors de l'audience de conciliation devrait conduire à sa récusation.</w:t>
      </w:r>
    </w:p>
    <w:p>
      <w:r>
        <w:rPr>
          <w:b/>
        </w:rPr>
        <w:t>E. 3.2.1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7B_832/2024 du 31 décembre 2024 consid. 3.2.1).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7B_832/2024 précité consid. 3.2.1; 7B_190/2023 du 14 décembre 2023 consid. 4.1.1 et les arrêts cités).</w:t>
      </w:r>
    </w:p>
    <w:p>
      <w:r>
        <w:rPr>
          <w:b/>
        </w:rPr>
        <w:t>E. 3.2.2</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7B_832/2024 du 31 décembre 2024 consid. 3.2.3).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arrêts 7B_832/2024 du 31 décembre 2024 consid. 3.2.2; 7B_553/2023 du 14 mai 2024 consid. 2.3.1).</w:t>
      </w:r>
    </w:p>
    <w:p>
      <w:r>
        <w:rPr>
          <w:b/>
        </w:rPr>
        <w:t>E. 3.2.3</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(arrêts 1B_128/2021 du 10 mai 2021 consid. 3.1; 1B_186/2019 du 24 juin 2019 consid. 5.1 et l'arrêt cité). Il incombe en particulier à la direction de la procédure de veiller à la sécurité, à la sérénité et au bon ordre des débats ( art. 63 al. 1 CPP ).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(arrêts 1B_222/2021 du 16 juillet 2021 consid. 2.1; 1B_96/2017 du 13 juin 2017 consid. 2.4). Des propos maladroits ne suffisent en principe pas pour retenir qu'un magistrat serait prévenu, sauf s'ils paraissent viser une personne particulière et que leur tenue semble constitutive d'une grave violation notamment des devoirs lui incombant ( ATF 141 IV 178 consid. 3.2.3; 127 I 196 consid. 2d; arrêts 1B_323/2022 du 27 septembre 2022 consid. 3.1.2; 1B_222/2021 du 16 juillet 2021 consid. 2.1).</w:t>
      </w:r>
    </w:p>
    <w:p>
      <w:r>
        <w:rPr>
          <w:b/>
        </w:rPr>
        <w:t>E. 3.3.1</w:t>
      </w:r>
    </w:p>
    <w:p>
      <w:r>
        <w:t>Le recourant se plaint d'abord d'imprécisions et erreurs qui émailleraient la décision cantonale. Il ne démontre cependant pas - ni même ne tente de démontrer - que les faits auraient été établis de manière arbitraire. Purement appellatoire, cette démarche s'avère irrecevable. Il en va en particulier ainsi des dates de dépôt de sa plainte pénale, respectivement de la demande de récusation. S'agissant de ce dernier point, la critique n'est quoi qu'il en soit pas pertinente dans la mesure où la demande de récusation n'a pas été considérée comme tardive.</w:t>
      </w:r>
    </w:p>
    <w:p>
      <w:r>
        <w:rPr>
          <w:b/>
        </w:rPr>
        <w:t>E. 3.3.2</w:t>
      </w:r>
    </w:p>
    <w:p>
      <w:r>
        <w:t>Le recourant soutient ensuite que le Ministère public ne serait pas en mesure de gérer sa plainte sans favoritisme en faveur de la société D.________ SA au vu de ses liens avec une société telle que F.________ SA. Sur ce point, le recourant fait grand cas du fait que l'autorité précédente se serait référée dans sa décision à cette seconde société. Contrairement au recourant, on ne décèle pas qu'il en résulterait un indice de "l'influence éventuelle" de cette société sur les autorités vaudoises. En effet, la décision querellée ne cite qu'à une unique occasion le nom de cette société, à savoir dans sa partie "En fait" où elle se contente de rapporter les craintes émises par le recourant au moment du dépôt de sa plainte en relation avec l'influence qu'aurait cette société sur les autorités vaudoises (cf. décision querellée, let. A.a). Le nom de cette société ne figure d'ailleurs pas dans le reste de la décision et n'a par conséquent pas été pris en considération par la cour cantonale dans son appréciation. Le recourant s'appuie dès lors sur des impressions purement individuelles qui ne sont pas décisives dans le cas d'espèce.</w:t>
      </w:r>
    </w:p>
    <w:p>
      <w:r>
        <w:rPr>
          <w:b/>
        </w:rPr>
        <w:t>E. 3.3.3</w:t>
      </w:r>
    </w:p>
    <w:p>
      <w:r>
        <w:t>Le recourant se plaint pour l'essentiel du comportement du Procureur intimé à l'audience de conciliation. Il lui reproche en substance d'avoir hurlé, frappé sur la table, pointé un "doigt rageur" sur lui et de l'avoir menacé de sanctions financières. Il fait également grief au Procureur intimé d'avoir méconnu le dossier et de n'avoir pas respecté son statut de plaignant. La Chambre des recours pénale a notamment fondé son appréciation sur le procès-verbal de l'audience de conciliation. À cet égard, le recourant ne parvient pas à démontrer, ni même ne tente de démontrer, qu'elle aurait fait preuve d'arbitraire en s'appuyant sur cette pièce. Partant, les faits en lien avec la séance invoqués librement par le recourant s'avèrent irrecevables. Il en va en particulier ainsi s'agissant de ses affirmations concernant le fait que le Procureur intimé aurait "hurlé" contre lui, l'aurait pointé du doigt ou l'aurait "dénigré". Selon l'état de fait de la décision querellée, après avoir constaté l'échec de la conciliation, le Procureur intimé a interrogé les parties. Ayant procédé à l'audition des deux prévenus, qui ont notamment précisé qu'ils s'étaient excusés à plusieurs reprises auprès du recourant, le magistrat a tenté d'obtenir les déterminations du recourant, en particulier de savoir s'il confirmait que les prévenus s'étaient excusés auprès de lui. On ne voit ainsi pas que le recourant n'aurait pas eu l'occasion, comme il le soutient, de faire entendre sa version des faits. Au contraire, alors que la possibilité lui en était offerte, il a refusé tout d'abord de répondre et s'est levé, avant de se rasseoir, puis a quitté définitivement la salle, malgré l'injonction du Procureur destinée à l'en empêcher. Or il ressort de la décision attaquée que le recourant, tout comme les prévenus, avait dûment signé et daté le formulaire relatif à ses droits et obligations. Dans ce cadre, il incombait au magistrat d'attirer son attention sur les conséquences de ses déclarations, son obligation de dire la vérité, ainsi que sur les imprécisions et incohérences de celles-ci. Le recourant, partie plaignante, était en effet tenu de répondre aux questions qui lui étaient posées (cf. art. 178 let. a et 180 al. 2 CPP ). Le Procureur avait pour tâche d'instruire à charge et à décharge les faits dénoncés, afin de déterminer si les éléments constitutifs de l'infraction de menaces étaient réunis (cf. art. 6 al. 1 et 2 CPP et art. 180 CP ). Le recourant ne saurait ainsi être suivi lorsqu'il allègue un "favoritisme envers la partie adverse", alors même qu'il a refusé de répondre aux questions qui lui étaient posées nonobstant ses obligations procédurales. Il n'appert pas davantage que le Procureur aurait méconnu le dossier de la cause, comme le soutient de manière appellatoire le recourant. C'est dans ce contexte houleux que le Procureur intimé a admis avoir haussé la voix et frappé du poing, à une occasion, sur son bureau. Si une telle réaction peut de prime abord sembler peu adéquate, elle ne suffit cependant pas à faire naître une apparence de prévention à l'égard du recourant dans le climat décrit ci-dessus, à savoir une partie plaignante qui refuse de répondre aux questions posées et qui quitte la salle au cours de l'audience. En effet, il appartenait au magistrat intimé de veiller au bon ordre des débats. Un motif de prévention ne saurait ainsi, sans autre élément, découler de l'usage par un magistrat de ses prérogatives en matière de police d'audience (cf. consid. 3.2.3 supra ). Cela vaut d'autant plus en l'occurrence qu'il n'est pas reproché au Procureur intimé d'avoir usé de termes déplacés et que ses interventions tendaient au contraire à permettre au recourant de se déterminer sur les propos des prévenus. Sur ce point, c'est de manière appellatoire et, partant, irrecevable que le recourant allègue que le Procureur lui aurait intimé de répondre par "oui ou par non" aux questions posées. Au demeurant, quand bien même ce fait serait établi qu'il ne serait pas encore de nature à faire naître un soupçon de partialité du magistrat; en effet, vu l'ambiance orageuse de la séance, un tel mode de faire était manifestement destiné à favoriser l'obtention de réponses de la part de l'intéressé. En définitive, dans les circonstances décrites ci-dessus, le Procureur intimé ne saurait se voir accusé de partialité pour avoir haussé le ton et frappé du poing sur la table.</w:t>
      </w:r>
    </w:p>
    <w:p>
      <w:r>
        <w:rPr>
          <w:b/>
        </w:rPr>
        <w:t>E. 3.3.4</w:t>
      </w:r>
    </w:p>
    <w:p>
      <w:r>
        <w:t>Pour le surplus, on ne décèle pas d'autres éléments qui permettraient de retenir un comportement partial du Procureur intimé à l'égard du recourant. En effet, comme l'a retenu à juste titre la juridiction précédente, avant l'audience de conciliation, le magistrat avait expliqué au recourant les règles relatives à la fixation du for, les devoirs liés à sa qualité de partie plaignante, ainsi que le fait qu'un témoin tiers n'avait pas à être convoqué à une audience de conciliation. Outre qu'il apparaît que le Procureur intimé s'est contenté d'appliquer les dispositions légales en la matière, on ne discerne pas que ces explications seraient empreintes de partialité à l'égard du recourant. En particulier, vu l'obligation de comparution à l'audience de conciliation (cf. art. 205 CPP ), on ne voit pas que l'absence de prise en charge des frais de déplacement à cette audience dénoterait une quelconque prévention contre le recourant.</w:t>
      </w:r>
    </w:p>
    <w:p>
      <w:r>
        <w:rPr>
          <w:b/>
        </w:rPr>
        <w:t>E. 3.3.5</w:t>
      </w:r>
    </w:p>
    <w:p>
      <w:r>
        <w:t>Enfin, les nombreux autres développements du recourant sont dénués de consistance ou tombent à faux. Il en va en particulier ainsi du sentiment de discrimination dont il fait état, à savoir que les Français seraient "traités comme une évidente sous-catégorie en termes de droit". Il en va de même de ses allégations selon lesquelles il aurait notamment subi une "séance de torture", voire un "double viol psychique obscène devant des tiers". Il s'agit d'impressions purement subjectives qui ne sont en aucun cas étayées.</w:t>
      </w:r>
    </w:p>
    <w:p>
      <w:r>
        <w:rPr>
          <w:b/>
        </w:rPr>
        <w:t>E. 3.4</w:t>
      </w:r>
    </w:p>
    <w:p>
      <w:r>
        <w:t>En définitive, aucun des motifs avancés par le recourant, qu'ils soient pris séparément ou dans leur ensemble, ne permet objectivement de retenir une apparence de prévention du Procureur intimé à son égard. Dans ces conditions, la cour cantonale n'a pas violé le droit fédéral en rejetant la demande de récusation formée par le recourant.</w:t>
      </w:r>
    </w:p>
    <w:p>
      <w:r>
        <w:rPr>
          <w:b/>
        </w:rPr>
        <w:t>E. 4</w:t>
      </w:r>
    </w:p>
    <w:p>
      <w:r>
        <w:t>Il s'ensuit que le recours doit être rejeté dans la mesure où il est recevable. Le recourant a demandé l'octroi de l'assistance judiciaire (cf. art. 64 al. 1 LTF ). Son recours était cependant d'emblée dénué de chances de succès et sa requête doit dès lors être rejetée. Le recourant, qui succombe, supportera donc les frais judiciaires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