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7B_863/2025 vom 18. September 2025</w:t>
      </w:r>
    </w:p>
    <w:p>
      <w:r>
        <w:t>Bundesgericht, 2025-09-18, FR</w:t>
      </w:r>
    </w:p>
    <w:p>
      <w:r>
        <w:rPr>
          <w:b/>
        </w:rPr>
        <w:t xml:space="preserve">Quelle: </w:t>
      </w:r>
      <w:r>
        <w:t>https://mcp.opencaselaw.ch/entscheid/bger_7B_863_2025</w:t>
      </w:r>
    </w:p>
    <w:p>
      <w:r>
        <w:t>FR: TF 7B_863/2025 du 18 septembre 2025</w:t>
      </w:r>
    </w:p>
    <w:p>
      <w:r>
        <w:t>IT: TF 7B_863/2025 del 18 settembre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(arrêts 7B_1438/2024 du 29 janvier 2025 consid. 1.1; 7B_10/2021 du 26 juillet 2023 consid. 1.1.1 et les réf. citées).</w:t>
      </w:r>
    </w:p>
    <w:p>
      <w:r>
        <w:rPr>
          <w:b/>
        </w:rPr>
        <w:t>E. 1.2</w:t>
      </w:r>
    </w:p>
    <w:p>
      <w:r>
        <w:t>En l'espèce, le recourant a déposé une plainte pénale contre son fils et sa belle-fille B.A.________ et C.A.________ pour dénonciation calomnieuse du fait des accusations proférées par ces derniers dans leurs plaintes du 7 février 2018, selon lesquelles il aurait prétendument commis des actes d'ordre sexuel au préjudice de son petit-fils ( art. 187 CP ). Il expose à cet égard qu'ensuite des plaintes pénales de son fils et de sa belle-fille, le Ministère public a ouvert une instruction pénale contre lui et que cette procédure a abouti à son acquittement, prononcé par jugement du Tribunal de police du 24 novembre 2023. Le recourant relève que les accusations litigieuses porteraient sur une infraction dite "socialement répugnante" et, partant, seraient de nature à lui causer un tort moral, comme cela a été constaté par le Tribunal de police. Or, confirmant l'ordonnance de non-entrée en matière du 28 avril 2025, l'arrêt attaqué le priverait de son droit de faire valoir des prétentions en tort moral envers sa belle-fille.</w:t>
      </w:r>
    </w:p>
    <w:p>
      <w:r>
        <w:rPr>
          <w:b/>
        </w:rPr>
        <w:t>E. 1.3</w:t>
      </w:r>
    </w:p>
    <w:p>
      <w:r>
        <w:t>Cela étant, par jugement du Tribunal de police du 24 novembre 2023, l'État de Genève a été condamné à verser au recourant un montant de 5'000 fr. à titre d'indemnité pour la réparation du tort moral subi ( art. 429 al. 1 let . c CPP), en raison des mesures privatives de liberté dont ce dernier avait fait l'objet et de l'atteinte particulièrement grave à ses droits de la personnalité (cf. jugement du Tribunal de police du 24 novembre 2023, p. 34 s. [ art. 105 al. 2 LTF ]).</w:t>
      </w:r>
    </w:p>
    <w:p>
      <w:r>
        <w:t>Aussi, dans la mesure où les prétentions civiles que fait valoir le recourant dans la présente procédure sont identiques à celles qui lui ont déjà été allouées dans le jugement précité, le recourant n'a pas la qualité pour recourir sur le fond. En effet, l'arrêt attaqué ne peut avoir un effet sur le jugement de l'action civile que pour autant que cette dernière existe ou existe encore; si la prétention civile a déjà été tranchée par un jugement entré en force ou si la créance est éteinte pour n'importe quel motif, il ne peut plus être question d'un effet sur le jugement des prétentions civiles ( ATF 127 IV 185 consid. 1a; 121 IV 317 consid. 3a; arrêt 6B_592/2021 du 14 février 2022 consid. 1).</w:t>
      </w:r>
    </w:p>
    <w:p>
      <w:r>
        <w:t>Le recourant ne cherche en tout état pas à établir que les prétentions civiles qu'il entend faire valoir contre sa belle-fille différeraient de celles qui ont fait l'objet de son indemnisation par le Tribunal correctionnel selon l' art. 429 al. 1 let . c CPP. Il échoue ainsi à démontrer que, nonobstant le jugement du Tribunal de police, il puisse introduire une action civile portant sur les prétentions civiles en question.</w:t>
      </w:r>
    </w:p>
    <w:p>
      <w:r>
        <w:rPr>
          <w:b/>
        </w:rPr>
        <w:t>E. 1.4</w:t>
      </w:r>
    </w:p>
    <w:p>
      <w:r>
        <w:t>Il s'ensuit que la motivation du recourant sur la question des prétentions civiles, manifestement insuffisante, exclut sa qualité pour recourir sur le fond de la cause.</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