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7B_862/2023 vom 20. Dezember 2023</w:t>
      </w:r>
    </w:p>
    <w:p>
      <w:r>
        <w:t>Bundesgericht, 2023-12-20, DE</w:t>
      </w:r>
    </w:p>
    <w:p>
      <w:r>
        <w:rPr>
          <w:b/>
        </w:rPr>
        <w:t xml:space="preserve">Quelle: </w:t>
      </w:r>
      <w:r>
        <w:t>https://mcp.opencaselaw.ch/entscheid/bger_7B_862_2023</w:t>
      </w:r>
    </w:p>
    <w:p>
      <w:r>
        <w:t>FR: TF 7B_862/2023 du 20 décembre 2023</w:t>
      </w:r>
    </w:p>
    <w:p>
      <w:r>
        <w:t>IT: TF 7B_862/2023 del 20 dicembre 2023</w:t>
      </w:r>
    </w:p>
    <w:p>
      <w:pPr>
        <w:pStyle w:val="Heading2"/>
      </w:pPr>
      <w:r>
        <w:t>Erwägungen</w:t>
      </w:r>
    </w:p>
    <w:p>
      <w:r>
        <w:rPr>
          <w:b/>
        </w:rPr>
        <w:t>E. 1</w:t>
      </w:r>
    </w:p>
    <w:p>
      <w:r>
        <w:t>Das Statthalteramt Bezirk Meilen führt eine Strafuntersuchung gegen A.________ wegen Nichtbeherrschen des Fahrzeugs. Es erliess am 6. Juni 2023 einen Strafbefehl und auferlegte A.________ eine Busse von Fr. 300.--. Dagegen erhob A.________ am 7. Juni 2023 Einsprache und verlangte gleichzeitig den Ausstand der zuständigen Statthalterin. Mit Stellungnahme vom 6. Juli 2023 beantragte die Statthalterin die Abweisung des Ausstandsgesuchs. Mit Beschluss vom 3. Oktober 2023 wies die III. Strafkammer des Obergerichts des Kantons Zürich das Ausstandsgesuch ab. Dagegen führt A.________ mit Eingabe vom 4. November 2023 Beschwerde an das Bundesgericht. Er beantragt sinngemäss, der angefochtene Beschluss sei aufzuheben und die Statthalterin sei in den Ausstand zu versetzen.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E. 2.2; je mit Hinweisen).</w:t>
      </w:r>
    </w:p>
    <w:p>
      <w:r>
        <w:rPr>
          <w:b/>
        </w:rPr>
        <w:t>E. 3</w:t>
      </w:r>
    </w:p>
    <w:p>
      <w:r>
        <w:t>Der Beschwerdeführer setzt sich mit dem angefochtenen Entscheid nicht sachgerecht auseinander. Seine Ausführungen erschöpfen sich im Wesentlichen in einer pauschalen, grösstenteils appellatorischen Kritik an der Strafuntersuchung und dem Verhalten der Statthalterin. Dies ohne ansatzweise darzulegen, weshalb die Statthalterin vorliegend tatsächlich befangen sein soll. Der Beschwerdeführer zeigt nicht auf, inwiefern durch die dem ausführlich begründeten Beschluss zugrunde liegende Begründung bzw. durch den Beschluss selbst im Ergebnis Recht im Sinne von Art. 42 Abs. 2 BGG verletzt worden sein soll. Aus seiner Eingabe ergibt sich nicht, inwieweit das Obergericht das Ausstandsgesuch in rechts- bzw. verfassungswidriger Weise abgewiesen haben sollte. Die Ausführungen des Beschwerdeführers genügen den gesetzlichen Anforderungen an die Begründung einer Beschwerde offenkundig nicht.</w:t>
      </w:r>
    </w:p>
    <w:p>
      <w:r>
        <w:rPr>
          <w:b/>
        </w:rPr>
        <w:t>E. 4</w:t>
      </w:r>
    </w:p>
    <w:p>
      <w:r>
        <w:t>Auf die Beschwerde ist demnach im Verfahren nach Art. 108 BGG nicht einzutreten. Bei diesem Verfahrensausgang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