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7B_857/2024 vom 4. Oktober 2024</w:t>
      </w:r>
    </w:p>
    <w:p>
      <w:r>
        <w:t>Bundesgericht, 2024-10-04, FR</w:t>
      </w:r>
    </w:p>
    <w:p>
      <w:r>
        <w:rPr>
          <w:b/>
        </w:rPr>
        <w:t xml:space="preserve">Quelle: </w:t>
      </w:r>
      <w:r>
        <w:t>https://mcp.opencaselaw.ch/entscheid/bger_7B_857_2024</w:t>
      </w:r>
    </w:p>
    <w:p>
      <w:r>
        <w:t>FR: TF 7B_857/2024 du 4 octobre 2024</w:t>
      </w:r>
    </w:p>
    <w:p>
      <w:r>
        <w:t>IT: TF 7B_857/2024 del 4 ottobre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rPr>
          <w:b/>
        </w:rPr>
        <w:t>E. 1.1.2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7B_652/2024 du 30 juillet 2024 consid. 3.2 et les arrêts cités). Le Tribunal fédéral pose des exigences strictes de motivation de la qualité pour recourir (cf. art. 42 al. 1 LTF ; ATF 141 IV 1 consid. 1.1).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7B_332/2024 du 31 mai 2024 consid. 1.1.2 et les arrêts cités).</w:t>
      </w:r>
    </w:p>
    <w:p>
      <w:r>
        <w:rPr>
          <w:b/>
        </w:rPr>
        <w:t>E. 1.1.3</w:t>
      </w:r>
    </w:p>
    <w:p>
      <w:r>
        <w:t>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7B_566/2023 du 14 mai 2024 consid. 1.2.1; 7B_507/2023 du 20 mars 2024 consid. 1.2.1).</w:t>
      </w:r>
    </w:p>
    <w:p>
      <w:r>
        <w:t>En revanche, en matière de délit contre l'honneur, il ne suffit pas d'invoquer une telle infraction pour que l'on puisse automatiquement en déduire l'existence d'un tort moral.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7B_705/2023 du 20 novembre 2023 consid. 1.2; 7B_546/2023 du 6 septembre 2023 consid. 1.2; 6B_609/2022 du 9 août 2022 consid. 4).</w:t>
      </w:r>
    </w:p>
    <w:p>
      <w:r>
        <w:rPr>
          <w:b/>
        </w:rPr>
        <w:t>E. 1.2</w:t>
      </w:r>
    </w:p>
    <w:p>
      <w:r>
        <w:t>En l'espèce, le 17 avril 2024, la recourante avait déposé une plainte pénale contre sa mère B.________, sa soeur C.________ et son frère D.________ pour diffamation ( art. 173 CP ), calomnie ( art. 174 CP ), injure ( art. 177 CP ) et tentative de contrainte ( art. 22 et 181 CP ).</w:t>
      </w:r>
    </w:p>
    <w:p>
      <w:r>
        <w:t>Cette plainte s'inscrivait dans le contexte du litige successoral déjà décrit dans l'arrêt 7B_662/2023, également rendu ce jour, et auquel il est renvoyé à cet égard (cf. arrêt 7B_662/2023 précité consid. 1.2.1).</w:t>
      </w:r>
    </w:p>
    <w:p>
      <w:r>
        <w:rPr>
          <w:b/>
        </w:rPr>
        <w:t>E. 1.3</w:t>
      </w:r>
    </w:p>
    <w:p>
      <w:r>
        <w:t>Cela étant, la recourante ne consacre strictement aucun développement aux prétentions civiles qu'elle entendrait déduire en raison des infractions reprochées, dans sa plainte du 17 avril 2024, à divers membres de sa famille.</w:t>
      </w:r>
    </w:p>
    <w:p>
      <w:r>
        <w:t>En particulier, à supposer que la recourante souhaite obtenir des indemnités pour le tort moral subi directement au titre des infractions contre l'honneur et contre la liberté dont elle se plaint, il lui aurait notamment appartenu d'exposer, dans son recours en matière pénale, en quoi les actes des personnes mises en cause lui auraient causé une atteinte psychique d'une gravité suffisante pour justifier une réparation, ce qu'elle ne fait aucunement.</w:t>
      </w:r>
    </w:p>
    <w:p>
      <w:r>
        <w:rPr>
          <w:b/>
        </w:rPr>
        <w:t>E. 1.4</w:t>
      </w:r>
    </w:p>
    <w:p>
      <w:r>
        <w:t>La recourante ne parvient donc pas à démontrer qu'elle dispose de la qualité pour recourir au sens de l'art. 81 al. 1 let. b ch. 5 LTF.</w:t>
      </w:r>
    </w:p>
    <w:p>
      <w:r>
        <w:rPr>
          <w:b/>
        </w:rPr>
        <w:t>E. 2</w:t>
      </w:r>
    </w:p>
    <w:p>
      <w:r>
        <w:t>L'hypothèse visée à l'art. 81 al. 1 let. b ch. 6 LTF n'entre pas non plus en considération, la recourante ne soulevant aucun grief quant à son droit de porter plainte.</w:t>
      </w:r>
    </w:p>
    <w:p>
      <w:r>
        <w:rPr>
          <w:b/>
        </w:rPr>
        <w:t>E. 3.1</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Elle ne peut à cet égard ni critiquer l'appréciation des preuves, ni faire valoir que la motivation n'est pas correcte d'un point de vue matériel ( ATF 136 IV 41 consid. 1.4 et les références citées; arrêts 7B_57/2022 du 27 mars 2024 consid. 7.1; 1B_404/2021 du 19 octobre 2021 consid. 6, non publié aux ATF 148 IV 82 ).</w:t>
      </w:r>
    </w:p>
    <w:p>
      <w:r>
        <w:t>Une autorité commet un déni de justice formel et viole l' art. 29 al. 1 Cst. lorsqu'elle n'entre pas en matière dans une cause qui lui est soumise dans les formes et délais prescrits, alors qu'elle devrait s'en saisir ( ATF 142 II 154 consid. 4.2; 141 I 172 consid. 5.2).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La motivation peut d'ailleurs être implicite et résulter des différents considérants de la décision ( ATF 141 V 557 consid. 3.2.1; arrêt 7B_192/2023 du 19 mars 2024 consid. 2.2 et l'arrêt cité).</w:t>
      </w:r>
    </w:p>
    <w:p>
      <w:r>
        <w:rPr>
          <w:b/>
        </w:rPr>
        <w:t>E. 3.2</w:t>
      </w:r>
    </w:p>
    <w:p>
      <w:r>
        <w:t>À l'instar de ce qui prévaut dans l'arrêt 7B_662/2023 précité (cf. consid. 3.2 et 3.3), la recourante ne présente non plus aucun grief recevable sous l'angle d'une violation de ses droits de partie.</w:t>
      </w:r>
    </w:p>
    <w:p>
      <w:r>
        <w:t>Les critiques développées dans ce contexte ne sont en effet pas manifestement distinctes du fond du litige, attendu que la recourante s'attache essentiellement à se plaindre du refus du Ministère public de mettre en oeuvre des mesures d'instruction, soit en particulier de procéder à son audition. Pour le reste, la recourante n'expose pas précisément en quoi les juges cantonaux auraient insuffisamment motivé l'arrêt attaqué et dès lors violé son droit d'être entendue, étant observé qu'en l'espèce, ils ont énuméré dans le détail les différents propos et allégations visés par la plainte (cf. arrêt attaqué, consid. 3.3 p. 8 ss), avant de les examiner sous l'angle des qualifications envisagées par la recourante (cf. arrêt attaqué, consid. 3.4-3.6 p. 10 ss).</w:t>
      </w:r>
    </w:p>
    <w:p>
      <w:r>
        <w:rPr>
          <w:b/>
        </w:rPr>
        <w:t>E. 4</w:t>
      </w:r>
    </w:p>
    <w:p>
      <w:r>
        <w:t>Ne répondant ainsi manifestement pas aux exigences de motivation d'un recours en matière pénale au Tribunal fédéral, le recours doit être déclaré irrecevable selon la procédure simplifiée prévue par l' art. 108 al. 1 let. a et b LTF .</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