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7B_853/2024 vom 2. September 2024</w:t>
      </w:r>
    </w:p>
    <w:p>
      <w:r>
        <w:t>Bundesgericht, 2024-09-02, DE</w:t>
      </w:r>
    </w:p>
    <w:p>
      <w:r>
        <w:rPr>
          <w:b/>
        </w:rPr>
        <w:t xml:space="preserve">Quelle: </w:t>
      </w:r>
      <w:r>
        <w:t>https://mcp.opencaselaw.ch/entscheid/bger_7B_853_2024</w:t>
      </w:r>
    </w:p>
    <w:p>
      <w:r>
        <w:t>FR: TF 7B_853/2024 du 2 septembre 2024</w:t>
      </w:r>
    </w:p>
    <w:p>
      <w:r>
        <w:t>IT: TF 7B_853/2024 del 2 settembre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Strafbefehl vom 18. Dezember 2023 verurteilte die Staatsanwaltschaft Winterthur/Unterland A.________ wegen einfacher Körperverletzung zu einer Geldstrafe von 90 Tagessätzen zu Fr. 60.--. Dagegen erhob A.________ Einsprache, worauf die Staatsanwaltschaft die Sache an das Bezirksgericht Winterthur überwies. Ein von A.________ gestelltes Gesuch um amtliche Verteidigung wies die Oberstaatsanwaltschaft des Kantons Zürich mit Verfügung vom 14. Februar 2024 ab. Dagegen erhob A.________ Beschwerde an das Obergericht des Kantons Zürich, welches die Beschwerde mit Beschluss vom 24. Juni 2024 abwies. A.________ reichte am 21. Juli 2024 eine "Einsprache" bzw. Beschwerde in Strafsachen gegen dieses Beschluss bei der Oberstaatsanwaltschaft ein. Diese leitete die Eingabe von A.________ an das Obergericht weiter, welches mit Schreiben vom 30. Juli 2024 die Beschwerde an das Bundesgericht übermittelte.</w:t>
      </w:r>
    </w:p>
    <w:p>
      <w:r>
        <w:rPr>
          <w:b/>
        </w:rPr>
        <w:t>E. 2</w:t>
      </w:r>
    </w:p>
    <w:p>
      <w:r>
        <w:t>Mit Schreiben vom 11. August 2024 erklärt A.________, dass er seine Beschwerde zurückzieht.</w:t>
      </w:r>
    </w:p>
    <w:p>
      <w:r>
        <w:rPr>
          <w:b/>
        </w:rPr>
        <w:t>E. 3</w:t>
      </w:r>
    </w:p>
    <w:p>
      <w:r>
        <w:t>Mit dem Rückzug der Beschwerde wird das Verfahren gegenstandslos und ist von der Instruktionsrichterin als Einzelrichterin im Verfahren nach Art. 32 Abs. 2 BGG abzuschreiben.</w:t>
      </w:r>
    </w:p>
    <w:p>
      <w:r>
        <w:rPr>
          <w:b/>
        </w:rPr>
        <w:t>E. 4</w:t>
      </w:r>
    </w:p>
    <w:p>
      <w:r>
        <w:t>Der Beschwerdeführer, der seine Eingabe zurückgezogen und damit das Dahinfallen des Verfahrens verursacht hat, hat grundsätzlich für die bisher entstandenen bundesgerichtlichen Kosten aufkommen ( Art. 66 BGG ). Vorliegend rechtfertigt es sich indessen ausnahmsweise auf Kosten zu verzichten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