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84/2025 vom 28. März 2025</w:t>
      </w:r>
    </w:p>
    <w:p>
      <w:r>
        <w:t>Bundesgericht, 2025-03-28, FR</w:t>
      </w:r>
    </w:p>
    <w:p>
      <w:r>
        <w:rPr>
          <w:b/>
        </w:rPr>
        <w:t xml:space="preserve">Quelle: </w:t>
      </w:r>
      <w:r>
        <w:t>https://mcp.opencaselaw.ch/entscheid/bger_7B_84_2025</w:t>
      </w:r>
    </w:p>
    <w:p>
      <w:r>
        <w:t>FR: TF 7B 84/2025 du 28 mars 2025</w:t>
      </w:r>
    </w:p>
    <w:p>
      <w:r>
        <w:t>IT: TF 7B 84/2025 del 28 marzo 2025</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Alors même que le recourant se trouve vraisemblablement en exécution anticipée d'une peine privative de liberté (cf. le jugement du Tribunal de police de la République et canton de Genève du 28 janvier 2025; P/5031/2023), il peut en tout temps requérir sa libération ( art. 31 al. 4 Cst. , 5 par. 4 CEDH; ATF 143 IV 160 consid. 2.3; 139 IV 191 consid. 4.1 in fine); la qualité pour recourir doit par conséquent lui être reconnue, dès lors que l'arrêt entrepris confirme le rejet de sa demande de libération (cf. art. 81 al. 1 let. a et b ch. 1 LTF; arrêts 7B_1008/2023 du 12 janvier 2024 consid. 1; 7B_475/2023 du 6 septembre 2023 consid. 1.1 et 3.1; 1B_402/2020 du 21 août 2020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1.2</w:t>
      </w:r>
    </w:p>
    <w:p>
      <w:r>
        <w:t>Indépendamment de savoir si la détention ordonnée était licite ou pas, la conclusion visant à obtenir une indemnité au sens des art. 429 al. 1 let . c et 431 CPP est irrecevable, étant rappelé qu'il n'entre pas dans la compétence du juge de la détention de statuer sur cette question ( ATF 142 IV 245 consid. 4.1).</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3.1).</w:t>
      </w:r>
    </w:p>
    <w:p>
      <w:r>
        <w:rPr>
          <w:b/>
        </w:rPr>
        <w:t>E. 2.2</w:t>
      </w:r>
    </w:p>
    <w:p>
      <w:r>
        <w:t>Le recourant commence son écriture par une présentation personnelle des faits et du déroulement de la procédure (ch. V "Bref résumé de la Problématique", p. 5 ss du mémoire de recours). De la sorte, il ne cherche pas à démontrer que les faits auraient été établis arbitrairement et ne formule aucun grief recevable au regard de l' art. 106 al. 2 LTF .</w:t>
      </w:r>
    </w:p>
    <w:p>
      <w:r>
        <w:rPr>
          <w:b/>
        </w:rPr>
        <w:t>E. 3.1</w:t>
      </w:r>
    </w:p>
    <w:p>
      <w:r>
        <w:t>Le recourant conteste que les charges pesant sur lui se soient renforcées d'une manière telle qu'elles justifieraient, à l'approche de la fin de l'instruction, son maintien en détention provisoire, respectivement la prolongation de celle-ci.</w:t>
      </w:r>
    </w:p>
    <w:p>
      <w:r>
        <w:rPr>
          <w:b/>
        </w:rPr>
        <w:t>E. 3.2.1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w:t>
      </w:r>
    </w:p>
    <w:p>
      <w:r>
        <w:rPr>
          <w:b/>
        </w:rPr>
        <w:t>E. 3.2.2</w:t>
      </w:r>
    </w:p>
    <w:p>
      <w:r>
        <w:t>Préalablement à ces conditions, il doit exister des charges suffisantes, soit de sérieux soupçons de culpabilité, à l'égard de l'intéressé ( art. 221 al. 1 CPP ), c'est-à-dire des raisons plausibles de le soupçonner d'avoir commis une infraction (arrêt 7B_1195/2024 du 27 novembre 2024 consid. 3.1).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 7B_1195/2024 du 27 novembre 2024 consid. 4 in fine ). Le juge de la détention ne tient donc en principe pas compte d'un alibi, sous réserve de sa démonstration par une preuve immédiatement disponible ( ATF 143 IV 330 consid. 2.1; arrêt 7B_1003/2024 du 14 octobre 2024 consid. 3.2 et l'arrêt cité).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7B_1251/2024 du 16 décembre 2024 consid. 2.2.2; 7B_1003/2024 du 14 octobre 2024 consid. 3.2 et l'arrêt cité).</w:t>
      </w:r>
    </w:p>
    <w:p>
      <w:r>
        <w:rPr>
          <w:b/>
        </w:rPr>
        <w:t>E. 3.3</w:t>
      </w:r>
    </w:p>
    <w:p>
      <w:r>
        <w:t>La cour cantonale a constaté que les griefs du recourant par lesquels celui-ci contestait les charges contre lui et leur qualification juridique avaient déjà été examinés dans son arrêt du 23 octobre 2024 - dont l'appréciation avait été suivie par le Tribunal fédéral - ainsi que dans son arrêt du 29 novembre 2024. Dans la mesure où le recourant n'apportait aucun élément permettant de modifier sa position, la cour cantonale a renvoyé aux considérations de ses précédents arrêts ( art. 82 al. 4 CPP ).</w:t>
      </w:r>
    </w:p>
    <w:p>
      <w:r>
        <w:rPr>
          <w:b/>
        </w:rPr>
        <w:t>E. 3.4</w:t>
      </w:r>
    </w:p>
    <w:p>
      <w:r>
        <w:t>Le recourant reproche à la cour cantonale d'avoir renvoyé à son arrêt du 23 octobre 2024 sans tenir compte des nouveaux éléments. Il lui reproche en particulier d'avoir occulté le fait que la nouvelle prévention d'utilisations frauduleuses d'un ordinateur d'importance mineure (art. 147 cum 172ter CP) retenue dans l'ordonnance du TMC du 22 novembre 2024 était déjà connue et ne constituait dès lors pas une nouvelle charge à son encontre. L'argumentation du recourant à cet égard est dénuée de toute pertinence dans la mesure où ce n'est pas cette infraction qui a conduit l'autorité précédente à retenir un renforcement des charges. En effet, dans son arrêt du 23 octobre 2024 - auquel elle a renvoyé -, la cour cantonale a considéré que les charges dans la procédure P/5031/2023 s'étaient encore alourdies depuis la mise en liberté du recourant le 31 mai 2023 dès lors que, depuis ses interpellations des 14 septembre, 30 octobre et 22 décembre 2023 et du 24 mai 2024, les infractions de vol, souillure, exhibitionnisme, injure, menaces, lésions corporelles simples et séjour illégal lui étaient reprochées. Elle a retenu que les charges s'étaient également renforcées avec la nouvelle prévention du 27 septembre 2024 pour vol. Le recourant ne s'en prend pas au raisonnement de la juridiction cantonale conformément aux prescriptions légales ( art. 42 al. 2 LTF et 106 al. 2 LTF) et celui-ci ne prête pas le flanc à la critique. Cela vaut d'autant plus que, dans son recours, le recourant paraît limiter les reproches qui lui sont faits aux événements d'octobre 2023 ou de septembre 2024, sans discuter l'escalade dans la gravité des infractions réalisées en octobre 2022, mars, septembre, décembre 2023 et mai 2024. Pour le surplus, l'argumentation du recourant basée sur les observations du Ministère public du 13 novembre 2024 (ayant trait à la demande de prolongation de la détention provisoire) est dénuée de toute pertinence dès lors que ces éléments n'ont pas fondé l'arrêt querellé. En outre, contrairement à ce que prétend le recourant, la cour cantonale ne s'est pas basée sur l'arrêt du Tribunal fédéral du 16 décembre 2024 pour retenir le renforcement des charges à son endroit, mais a simplement indiqué que son appréciation avait été suivie par la Cour de céans (cf. arrêt querellé p. 5).</w:t>
      </w:r>
    </w:p>
    <w:p>
      <w:r>
        <w:rPr>
          <w:b/>
        </w:rPr>
        <w:t>E. 3.5</w:t>
      </w:r>
    </w:p>
    <w:p>
      <w:r>
        <w:t>Sur le vu de ce qui précède, l'autorité précédente pouvait, sans violer le droit fédéral, confirmer - certes principalement par renvoi - l'existence de charges suffisantes justifiant la prolongation de la détention provisoire.</w:t>
      </w:r>
    </w:p>
    <w:p>
      <w:r>
        <w:rPr>
          <w:b/>
        </w:rPr>
        <w:t>E. 4.1</w:t>
      </w:r>
    </w:p>
    <w:p>
      <w:r>
        <w:t>Le recourant reproche à l'autorité précédente d'avoir retenu des risques de fuite et de réitération, qu'aucune mesure de substitution ne saurait pallier. S'agissant du risque de réitération, le recourant souligne que l'infraction ayant conduit à sa détention consistait dans le vol (dont il conteste la qualification juridique) d'un objet oublié par son propriétaire dans le domaine public. Selon lui, cet acte ne pouvait pas fonder un risque de récidive s'il s'engageait à ne plus toucher les objets appartenant au domaine public.</w:t>
      </w:r>
    </w:p>
    <w:p>
      <w:r>
        <w:rPr>
          <w:b/>
        </w:rPr>
        <w:t>E. 4.2.1</w:t>
      </w:r>
    </w:p>
    <w:p>
      <w:r>
        <w:t>L' art. 221 al. 1 let . c CPP, dans sa teneur au 1er janvier 2024 (RO 2023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(arrêt 7B_1035/2024 du 19 novembre 2024 consid. 2.11 destiné à la publication). La prévention du risque de récidive doit permettre de faire prévaloir l'intérêt de la sécurité publique sur la liberté personnelle du prévenu ( ATF 137 IV 13 consid. 3 et 4; arrêt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326 consid. 3.1 et les arrêts cités).</w:t>
      </w:r>
    </w:p>
    <w:p>
      <w:r>
        <w:rPr>
          <w:b/>
        </w:rPr>
        <w:t>E. 4.2.2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509 s. et les arrêts cités).</w:t>
      </w:r>
    </w:p>
    <w:p>
      <w:r>
        <w:rPr>
          <w:b/>
        </w:rPr>
        <w:t>E. 4.3</w:t>
      </w:r>
    </w:p>
    <w:p>
      <w:r>
        <w:t>La cour cantonale a renvoyé aux considérations de son arrêt du 23 octobre 2024 s'agissant des risques de fuite et de réitération ( art. 82 al. 4 CPP ). Sur ce dernier point, elle a notamment considéré que depuis la mise en liberté du recourant le 31 mai 2023, celui-ci - déjà prévenu de vols, dommages à la propriété et violence ou menace contre les autorités et les fonctionnaires - était fortement soupçonné d'avoir commis de nouvelles infractions, en particulier deux nouveaux vols, des lésions corporelles à un résident de son foyer et la profération de menaces de mort. D'après l'autorité cantonale, les lésions corporelles simples menaçaient l'intégrité corporelle et la santé tant physique que psychique et les menaces de mort constituaient un délit grave en tant qu'elles s'en prenaient à la paix intérieure et au sentiment de sécurité des personnes auxquelles elles étaient adressées. L'accélération de l'activité délictuelle du recourant, qui augmentait également en intensité, était inquiétante sous l'angle de la sécurité publique et permettait de redouter la commission d'actes plus graves. Cette préoccupation étaient renforcée par les multiples antécédents du recourant et le sentiment d'impunité qu'il semblait ressentir; le recourant avait récidivé après chacune de ses remises en liberté. Il était maintenant soupçonné de diverses infractions dont on ne pouvait pas considérer qu'elles constituaient des cas bagatelles dont la société pouvait s'accommoder. La sécurité de tiers était désormais compromise; le risque de réitération était ainsi avéré (cf. arrêt de la Chambre pénale de recours du 23 octobre 2024 consid. 5.2 p. 8-9).</w:t>
      </w:r>
    </w:p>
    <w:p>
      <w:r>
        <w:rPr>
          <w:b/>
        </w:rPr>
        <w:t>E. 4.4</w:t>
      </w:r>
    </w:p>
    <w:p>
      <w:r>
        <w:t>Le recourant n'apporte aucun élément susceptible de remettre en cause l'appréciation de l'autorité précédente, laquelle doit être confirmée. En effet, le recourant figure au casier judiciaire pour plusieurs condamnations antérieures en lien avec des infractions du même genre que celles faisant l'objet de la procédure ouverte contre lui. En outre, de nouvelles charges pèsent sur lui notamment depuis mai 2023. L'accumulation des charges liées à des atteintes au patrimoine laisse supposer une installation durable dans la délinquance. Le recourant n'a en effet pas mis un frein à ses agissements délictueux, que ce soit à la suite de l'ordonnance pénale contestée d'octobre 2022, de sa libération en mai 2023 ou de ses différentes interpellations ultérieures. Au contraire, les comportements adoptés postérieurement tendent à démontrer une escalade dans la dangerosité. Vu le comportement adopté, il existe en l'espèce une crainte concrète que le recourant puisse commettre des actes plus graves en cas de libération. Ces considérations permettent également de confirmer l'absence de mesures de substitution propres à pallier le risque de récidive; les mesures proposées par le recourant (une stricte interdiction de ramasser tout objet trouvé abandonné dans le domaine public, une interdiction de tout contact avec la partie plaignante C.________, voire une interdiction d'entrée dans l'établissement où elle travaille) apparaissent manifestement impropres à prévenir ce risque.</w:t>
      </w:r>
    </w:p>
    <w:p>
      <w:r>
        <w:rPr>
          <w:b/>
        </w:rPr>
        <w:t>E. 4.5</w:t>
      </w:r>
    </w:p>
    <w:p>
      <w:r>
        <w:t>Vu ce qui précède, la Chambre pénale de recours n'a pas violé le droit fédéral en retenant l'existence d'un risque de récidive qu'aucune mesure de substitution ne permettait de pallier. Cette condition étant réalisée, il n'y a pas lieu d'examiner ce qu'il en est du risque de fuite également retenu par la cour cantonale.</w:t>
      </w:r>
    </w:p>
    <w:p>
      <w:r>
        <w:rPr>
          <w:b/>
        </w:rPr>
        <w:t>E. 5.1</w:t>
      </w:r>
    </w:p>
    <w:p>
      <w:r>
        <w:t>Le recourant reproche à l'autorité précédente de n'avoir pas tenu compte du fait qu'il avait déjà accompli plus de six mois de détention et donc près de deux tiers de sa peine si l'intégralité des charges devaient être retenues contre lui. Par cette critique, il cherche à se plaindre d'une violation du principe de la proportionnalité en lien avec la durée de sa détention provisoire.</w:t>
      </w:r>
    </w:p>
    <w:p>
      <w:r>
        <w:rPr>
          <w:b/>
        </w:rPr>
        <w:t>E. 5.2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7B_1195/2024 du 27 novembre 2024; 7B_907/2024 du 23 septembre 2024 consid. 5.2.2 et l'arrêt cité). 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 7B_907/2024 du 23 septembe 2024 consid. 5.2.3 et l'arrêt cité).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7B_1000/2023 du 11 janvier 2024 consid. 5.1.2 et la référence citée).</w:t>
      </w:r>
    </w:p>
    <w:p>
      <w:r>
        <w:rPr>
          <w:b/>
        </w:rPr>
        <w:t>E. 5.3</w:t>
      </w:r>
    </w:p>
    <w:p>
      <w:r>
        <w:t>La Chambre pénale de recours a considéré que le maintien du recourant en détention ne violait pas le principe de la proportionnalité. Il était détenu depuis moins de trois mois (auxquels s'ajoutait la détention provisoire de trois mois effectuée précédemment) et devait être renvoyé prochainement en jugement. En outre, les infractions reprochées, si elles devaient être confirmées par le juge du fond, et les antécédents du recourant (15 condamnations depuis 2015, notamment pour des faits similaires), permettaient de retenir qu'il n'existait aucune violation du principe de la proportionnalité.</w:t>
      </w:r>
    </w:p>
    <w:p>
      <w:r>
        <w:rPr>
          <w:b/>
        </w:rPr>
        <w:t>E. 5.4</w:t>
      </w:r>
    </w:p>
    <w:p>
      <w:r>
        <w:t>Le recourant ne conteste pas cette appréciation mais reproche à la cour cantonale de n'avoir pas tenu compte, dans son examen du principe de la proportionnalité, du fait qu'il était arrivé aux deux tiers de sa peine et pourrait ainsi bénéficier d'une libération conditionnelle. Son argumentation tombe à faux. En effet, le juge de la détention ne tient en principe pas compte de la possibilité d'une libération conditionnelle au sens de l' art. 86 al. 1 CP (cf. consid. 5.2 supra ). Le recourant n'expose au demeurant pas en quoi, en l'espèce, l'octroi d'une libération conditionnelle serait d'emblée évident et tel n'apparaît pas être le cas, compte tenu notamment de ses nombreux antécédents (cf. ATF 133 IV 201 consid. 2.2 et 2.3 et les références citées). Il s'ensuit que le grief tiré d'une violation du principe de la proportionnalité sur le plan temporel doit être rejeté.</w:t>
      </w:r>
    </w:p>
    <w:p>
      <w:r>
        <w:rPr>
          <w:b/>
        </w:rPr>
        <w:t>E. 6</w:t>
      </w:r>
    </w:p>
    <w:p>
      <w:r>
        <w:t>Le recourant reproche à l'autorité précédente d'avoir refusé d'indemniser son défenseur d'office pour la procédure de recours au motif que son recours était dénué de chances de succès.</w:t>
      </w:r>
    </w:p>
    <w:p>
      <w:r>
        <w:rPr>
          <w:b/>
        </w:rPr>
        <w:t>E. 6.1</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7B_1011/2023 du 11 janvier 2024 consid. 6.2; 7B_189/2023 du 16 octobre 2023 consid. 3.2; 1B_267/2021 du 22 juillet 2021 consid. 2.1).</w:t>
      </w:r>
    </w:p>
    <w:p>
      <w:r>
        <w:rPr>
          <w:b/>
        </w:rPr>
        <w:t>E. 6.2</w:t>
      </w:r>
    </w:p>
    <w:p>
      <w:r>
        <w:t>Le recourant soutient que la cour cantonale aurait admis un défaut de motivation de la part du TMC. Selon lui, elle ne pouvait donc pas, par la suite, considérer que le recours était dénué de chances de succès dès lors que celui-ci s'avérait nécessaire à la réparation d'un droit fondamental. En l'espèce, on voit mal en quoi un éventuel défaut de motivation d'une autorité de première instance permettrait de considérer d'emblée que les chances de succès d'un recours contre cette décision seraient établies. Au demeurant, si la juridiction précédente a certes souligné qu'une éventuelle violation du droit d'être entendu pouvait être réparée auprès d'une autorité de recours possédant un pouvoir d'examen complet en fait et en droit, elle a néanmoins expressément retenu qu'en l'espèce, le recourant avait pu comprendre et contester la décision querellée, ce qui excluait toute violation du droit d'être entendu (cf. ATF 143 IV 40 consid. 3.4.3; 142 I 135 consid. 2.1). Par ailleurs, contrairement à ce que le recourant prétend, la juridiction cantonale ne s'est pas référée à l'arrêt du Tribunal fédéral du 16 décembre 2024 pour retenir que le recours était manifestement dénué de chances de succès; son appréciation est le résultat des considérations de son arrêt et la référence citée a trait à la jurisprudence relative au mandat de défense d'office (cf. arrêt entrepris p. 6). Pour le surplus, les développements du recourant ne sont pas susceptibles de démontrer que son recours cantonal aurait pu aboutir. Il n'est en effet pas suffisant d'indiquer péremptoirement "qu'il n'existe de manière générale pas de mesures de substitution à la détention provisoire sollicitées au stade de l'aboutissement annoncé de l'instruction qui seraient manifestement dénuées de chances de succès". En l'espèce, vu les considérants qui précèdent, l'appréciation de l'autorité précédente sur l'absence de chances de succès du recours cantonal n'apparaît pas critiquable.</w:t>
      </w:r>
    </w:p>
    <w:p>
      <w:r>
        <w:rPr>
          <w:b/>
        </w:rPr>
        <w:t>E. 7</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