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7B_848/2023 vom 23. September 2025</w:t>
      </w:r>
    </w:p>
    <w:p>
      <w:r>
        <w:t>Bundesgericht, 2025-09-23, FR</w:t>
      </w:r>
    </w:p>
    <w:p>
      <w:r>
        <w:rPr>
          <w:b/>
        </w:rPr>
        <w:t xml:space="preserve">Quelle: </w:t>
      </w:r>
      <w:r>
        <w:t>https://mcp.opencaselaw.ch/entscheid/bger_7B_848_2023</w:t>
      </w:r>
    </w:p>
    <w:p>
      <w:r>
        <w:t>FR: TF 7B_848/2023 du 23 septembre 2025</w:t>
      </w:r>
    </w:p>
    <w:p>
      <w:r>
        <w:t>IT: TF 7B_848/2023 del 23 settembre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querellé est une décision finale (cf. art. 90 LTF ), qui a été rendue dans une cause pénale par une autorité cantonale de dernière instance (cf. art. 80 al. 1 LTF ). Il est donc susceptible de faire l'objet d'un recours en matière pénale (cf. art. 78 ss LTF ). Pour le surplus, le recours a été déposé en temps utile (cf. art. 44 ss et 100 al. 1 LTF ).</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soit principalement les prétentions en réparation du dommage et du tort moral au sens des art. 41 ss CO ( ATF 146 IV 76 consid. 3.1; 141 IV 1 consid. 1.1; arrêts 7B_533/2024 du 22 août 2025 consid. 2.1.1; 6B_562/2021 du 7 avril 2022 consid. 1.1 non publié in ATF 148 IV 170 ).</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7B_889/2023 du 20 février 2025 consid. 2.1; 7B_652/2024 du 30 juillet 2024 consid. 3.2). Le Tribunal fédéral pose des exigences strictes de motivation de la qualité pour recourir (cf. art. 42 al. 1 LTF ; ATF 148 IV 453 consid. 1.4.8; 141 IV 1 consid. 1.1), sans toutefois procéder à un examen approfondi de l'affaire sur le fond (arrêts 7B_533/2024 précité consid. 2.1.1; 7B_889/2023 précité consid. 2.1; 7B_652/2024 précité consid. 3.2).</w:t>
      </w:r>
    </w:p>
    <w:p>
      <w:r>
        <w:rPr>
          <w:b/>
        </w:rPr>
        <w:t>E. 1.2.2</w:t>
      </w:r>
    </w:p>
    <w:p>
      <w:r>
        <w:t>Dans l'acte de recours, il convient ainsi de démontrer, en introduction et de manière concise, que les conditions de recevabilité sont remplies (arrêts 7B_533/2024 précité consid. 2.1.2; 7B_889/2023 précité consid. 2.1; 7B_652/2024 précité consid. 3.2).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7B_889/2023 précité consid. 2.1; 7B_652/2024 précité consid. 3.2). En matière d'infractions économiques, il ne suffit pas, pour la partie plaignante, de se prévaloir d'avoir été touchée par l'infraction invoquée; elle doit fournir des explications précises sur le dommage éprouvé, sinon le recours est irrecevable (arrêt 7B_77/2022 du 12 décembre 2023 consid. 2.2.1 et les références citées).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arrêt 7B_889/2023 précité consid. 2.1). Il peut en aller ainsi en cas d'infraction portant directement atteinte à l'intégrité physique, psychique ou sexuelle, dont la gravité apparaît telle qu'elle ouvrirait incontestablement le droit à des dommages-intérêts ou à une indemnité pour tort moral (arrêts 7B_889/2023 précité consid. 2.1; 7B_901/2023 du 11 novembre 2024 consid. 1.3.1).</w:t>
      </w:r>
    </w:p>
    <w:p>
      <w:r>
        <w:rPr>
          <w:b/>
        </w:rPr>
        <w:t>E. 1.2.3</w:t>
      </w:r>
    </w:p>
    <w:p>
      <w:r>
        <w:t>Si la partie plaignante se plaint d'infractions distinctes,</w:t>
      </w:r>
    </w:p>
    <w:p>
      <w:r>
        <w:t>a fortiori commises par plusieurs personnes, elle doit mentionner, par rapport à chacune d'elles, en quoi consiste son dommage (arrêts 7B_638/2023 du 22 janvier 2025; 7B_901/2023 précité consid. 1.3.1; 7B_566/2023 du 14 mai 2024 consid. 1.2.1). Si le dommage n'est motivé qu'en ce qui concerne une des infractions, le recours est irrecevable pour les autres (arrêts 7B_507/2023 du 20 mars 2024 consid. 1.2; 7B_77/2022 du précité consid. 2.2 et les arrêts cités).</w:t>
      </w:r>
    </w:p>
    <w:p>
      <w:r>
        <w:rPr>
          <w:b/>
        </w:rPr>
        <w:t>E. 1.3</w:t>
      </w:r>
    </w:p>
    <w:p>
      <w:r>
        <w:t>En l'espèce, dans le chapitre consacré à la recevabilité de son recours au Tribunal fédéral, le recourant - pourtant assisté d'un mandataire professionnel - ne dit mot au sujet d'éventuelles prétentions civiles qui pourraient découler des infractions dénoncées.</w:t>
      </w:r>
    </w:p>
    <w:p>
      <w:r>
        <w:t>Il mentionne certes, dans la partie de son recours consacrée à la violation de l' art. 310 CPP en lien avec l'escroquerie, qu'il aurait "subi un dommage équivalent à la contre-valeur de son prêt, soit un montant de 5'400'000 francs" (cf. mémoire de recours p. 11). Cependant, selon la jurisprudence en la matière (cf. consid. 1.2.2</w:t>
      </w:r>
    </w:p>
    <w:p>
      <w:r>
        <w:t>supra ), le recourant était tenu d'exposer en introduction, et de manière certes concise mais circonstanciée, en quoi les agissements dénoncés et les infractions qui pourraient en découler lui auraient causé un dommage de nature patrimoniale, en fournissant les explications nécessaires pour rendre plausible le fondement de celui-ci; il devait exposer en quoi le dommage allégué pouvait fonder les prétentions civiles qu'il entendrait faire valoir par adhésion à la procédure pénale, ce qu'il ne fait pas.</w:t>
      </w:r>
    </w:p>
    <w:p>
      <w:r>
        <w:t>Au surplus, le recourant a dirigé sa plainte contre des auteurs distincts, à savoir les organes de B.________ SA et G.D.________, pour des infractions distinctes (abus de confiance, escroquerie et gestion déloyale). Or contrairement à ce qu'il lui appartenait de faire (cf. consid. 1.2.3</w:t>
      </w:r>
    </w:p>
    <w:p>
      <w:r>
        <w:t>supra ), il n'expose pas, dans son recours au Tribunal fédéral, en quoi pouvait consister son dommage vis-à-vis de chacun des auteurs pour chacune des infractions dénoncées.</w:t>
      </w:r>
    </w:p>
    <w:p>
      <w:r>
        <w:t>L'absence de telles explications exclut que le recourant puisse déduire sa qualité pour recourir de l'art. 81 al. 1 let. a et b ch. 5 LTF.</w:t>
      </w:r>
    </w:p>
    <w:p>
      <w:r>
        <w:rPr>
          <w:b/>
        </w:rPr>
        <w:t>E. 1.4</w:t>
      </w:r>
    </w:p>
    <w:p>
      <w:r>
        <w:t>L'hypothèse visée à l'art. 81 al. 1 let. b ch. 6 LTF n'entre pas en considération, étant donné que le recourant ne soulève aucun grief quant à son droit de porter plainte.</w:t>
      </w:r>
    </w:p>
    <w:p>
      <w:r>
        <w:rPr>
          <w:b/>
        </w:rPr>
        <w:t>E. 1.5</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consid.1.1).</w:t>
      </w:r>
    </w:p>
    <w:p>
      <w:r>
        <w:t>En l'espèce, invoquant en particulier la violation de l'arbitraire ( art. 9 Cst. ), le recourant reproche à la cour cantonale et au Ministère public d'avoir refusé d'ouvrir une instruction pénale. Ses développements ne visent toutefois qu'à établir ses accusations; le recourant ne fait ainsi valoir aucun moyen qui puisse être séparé du fond, de sorte que la qualité pour recourir doit également lui être déniée à cet égard.</w:t>
      </w:r>
    </w:p>
    <w:p>
      <w:r>
        <w:rPr>
          <w:b/>
        </w:rPr>
        <w:t>E. 2</w:t>
      </w:r>
    </w:p>
    <w:p>
      <w:r>
        <w:t>Compte tenu de ce qui précède, le recours doit être déclaré irrecevable.</w:t>
      </w:r>
    </w:p>
    <w:p>
      <w:r>
        <w:t>Le recourant, qui succombe,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