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845/2024 vom 2. Dezember 2024</w:t>
      </w:r>
    </w:p>
    <w:p>
      <w:r>
        <w:t>Bundesgericht, 2024-12-02, FR</w:t>
      </w:r>
    </w:p>
    <w:p>
      <w:r>
        <w:rPr>
          <w:b/>
        </w:rPr>
        <w:t xml:space="preserve">Quelle: </w:t>
      </w:r>
      <w:r>
        <w:t>https://mcp.opencaselaw.ch/entscheid/bger_7B_845_2024</w:t>
      </w:r>
    </w:p>
    <w:p>
      <w:r>
        <w:t>FR: TF 7B 845/2024 du 2 décembre 2024</w:t>
      </w:r>
    </w:p>
    <w:p>
      <w:r>
        <w:t>IT: TF 7B 845/2024 del 2 dicembre 2024</w:t>
      </w:r>
    </w:p>
    <w:p>
      <w:pPr>
        <w:pStyle w:val="Heading2"/>
      </w:pPr>
      <w:r>
        <w:t>Regeste</w:t>
      </w:r>
    </w:p>
    <w:p>
      <w:r>
        <w:t>Ordonnance de non-entrée en matière; irrecevabilité du recours en matière pénale (motivation insuffisante) | Procédure pénale</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140 III 86 consid. 2 et 115 consid. 2); en particulier, la motivation doit être topique, c'est-à-dire se rapporter à la question juridique tranchée par l'autorité cantonale ( ATF 123 V 335 consid. 1).</w:t>
      </w:r>
    </w:p>
    <w:p>
      <w:r>
        <w:rPr>
          <w:b/>
        </w:rPr>
        <w:t>E. 1.2</w:t>
      </w:r>
    </w:p>
    <w:p>
      <w:r>
        <w:t>En l'espèce, la cour cantonale a constaté que la recourante, bien qu'elle fût co-titulaire de l'autorité parentale (cf. art. 304 al. 1 CC ) sur sa fille mineure au jour du dépôt de l'acte de recours, ne déclarait pas agir au nom de celle-ci. Aussi, faute d'intérêt juridiquement protégé (cf. art. 382 CPP ), le recours déposé par la recourante en son nom personnel était irrecevable. Au demeurant, à supposer que la recourante eût agi au nom de sa fille - seule lésée par les infractions aux art. 122, 123 et 219 CP dénoncées -, le recours devait être rejeté, dans la mesure où les conditions prévues à l' art. 310 al. 1 let. b CPP étaient en l'occurrence réalisées (cf. arrêt attaqué, consid. 1.2 s. p. 4).</w:t>
      </w:r>
    </w:p>
    <w:p>
      <w:r>
        <w:rPr>
          <w:b/>
        </w:rPr>
        <w:t>E. 1.3</w:t>
      </w:r>
    </w:p>
    <w:p>
      <w:r>
        <w:t>Face à la motivation cantonale, la recourante persiste à agir en son nom propre exclusivement, en se limitant à contester l'appréciation de l'autorité précédente en lien avec l'existence d'un empêchement de procéder au sens de l' art. 310 al. 1 let. b CPP . Elle n'expose toutefois pas en quoi, conformément à l' art. 382 CPP , elle aurait disposé d'un intérêt juridiquement protégé à recourir personnellement contre l'ordonnance de non-entrée en matière du 16 avril 2024. Ce faisant, la recourante n'articule aucune critique, conforme aux exigences en la matière, propre à démontrer que les juges cantonaux auraient violé le droit fédéral en déclarant irrecevable le recours cantonal qu'elle avait déposé en son nom propre.</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