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7B_839/2024 vom 2. Oktober 2024</w:t>
      </w:r>
    </w:p>
    <w:p>
      <w:r>
        <w:t>Bundesgericht, 2024-10-02, DE</w:t>
      </w:r>
    </w:p>
    <w:p>
      <w:r>
        <w:rPr>
          <w:b/>
        </w:rPr>
        <w:t xml:space="preserve">Quelle: </w:t>
      </w:r>
      <w:r>
        <w:t>https://mcp.opencaselaw.ch/entscheid/bger_7B_839_2024</w:t>
      </w:r>
    </w:p>
    <w:p>
      <w:r>
        <w:t>FR: TF 7B_839/2024 du 2 octobre 2024</w:t>
      </w:r>
    </w:p>
    <w:p>
      <w:r>
        <w:t>IT: TF 7B_839/2024 del 2 ottobre 2024</w:t>
      </w:r>
    </w:p>
    <w:p>
      <w:pPr>
        <w:pStyle w:val="Heading2"/>
      </w:pPr>
      <w:r>
        <w:t>Erwägungen</w:t>
      </w:r>
    </w:p>
    <w:p>
      <w:r>
        <w:rPr>
          <w:b/>
        </w:rPr>
        <w:t>E. 1</w:t>
      </w:r>
    </w:p>
    <w:p>
      <w:r>
        <w:t>Mit Verfügung vom 1. Juli 2024 nahm die Staatsanwaltschaft des Kantons Solothurn die Strafanzeigen von A.________ (nachfolgend: Beschwerdeführer) vom 13., 22., 27. und 30. Mai 2024 gegen diverse Personen wegen Mordes, Amtsmissbrauchs, Beteiligung an einer kriminellen Organisation etc. nicht an die Hand. Auf die hiergegen gerichtete Beschwerde trat das Obergericht des Kantons Solothurn mit Verfügung vom 22. Juli 2024 androhungsgemäss nicht ein, nachdem der Beschwerdeführer innert Frist keine verbesserte Beschwerdeschrift eingereicht hatte. Der Beschwerdeführer gelangt mit Eingabe vom 29. Juli 2024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geht in seiner schwer verständlichen Beschwerdeschrift mit keinem Wort auf die angefochtene Verfügung ein. Er kommt den Begründungsanforderungen im bundesgerichtlichen Verfahren offensichtlich nicht nach.</w:t>
      </w:r>
    </w:p>
    <w:p>
      <w:r>
        <w:t>Im Übrigen sei der Beschwerdeführer darauf hingewiesen, dass das Bundesgericht für die Entgegennahme und Behandlung von Strafanzeigen nicht zuständig ist.</w:t>
      </w:r>
    </w:p>
    <w:p>
      <w:r>
        <w:rPr>
          <w:b/>
        </w:rPr>
        <w:t>E. 4</w:t>
      </w:r>
    </w:p>
    <w:p>
      <w:r>
        <w:t>Auf die Beschwerde ist im Verfahren nach Art. 108 BGG nicht einzutreten. Dem Beschwerdeführer sind ausgangsgemäss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