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7B_838/2025 vom 12. November 2025</w:t>
      </w:r>
    </w:p>
    <w:p>
      <w:r>
        <w:t>Bundesgericht, 2025-11-12, DE</w:t>
      </w:r>
    </w:p>
    <w:p>
      <w:r>
        <w:rPr>
          <w:b/>
        </w:rPr>
        <w:t xml:space="preserve">Quelle: </w:t>
      </w:r>
      <w:r>
        <w:t>https://mcp.opencaselaw.ch/entscheid/bger_7B_838_2025</w:t>
      </w:r>
    </w:p>
    <w:p>
      <w:r>
        <w:t>FR: TF 7B_838/2025 du 12 novembre 2025</w:t>
      </w:r>
    </w:p>
    <w:p>
      <w:r>
        <w:t>IT: TF 7B_838/2025 del 12 novembre 2025</w:t>
      </w:r>
    </w:p>
    <w:p>
      <w:pPr>
        <w:pStyle w:val="Heading2"/>
      </w:pPr>
      <w:r>
        <w:t>Erwägungen</w:t>
      </w:r>
    </w:p>
    <w:p>
      <w:r>
        <w:rPr>
          <w:b/>
        </w:rPr>
        <w:t>E. 1</w:t>
      </w:r>
    </w:p>
    <w:p>
      <w:r>
        <w:t>Die Regionale Staatsanwaltschaft Bern-Mittelland nahm mit Verfügung vom 23. Juni 2025 ein Strafverfahren wegen unbefugter Datenbeschaffung, unbefugtes Eindringen in ein Datenverarbeitungssystem etc. nicht an die Hand. Dagegen erhob A.________ Beschwerde an das Obergericht des Kantons Bern und ersuchte um unentgeltliche Rechtspflege. Das Obergericht forderte A.________ mit Verfügung vom 14. Juli 2025 auf, das Gesuch zu begründen und zu belegen. Am 23. Juli 2025 reichte A.________ eine Nachbesserung seines Gesuchs um unentgeltliche Rechtspflege ein. Mit Verfügung vom 24. Juli 2025 wies das Obergericht das Gesuch um unentgeltliche Rechtspflege ab und forderte A.________ bis zum 22. September 2025 auf, eine Sicherheit von Fr. 1'000.-- zu leisten, ansonsten auf das Rechtsmittel nicht eingetreten werde. Mit Eingabe vom 23. August 2025 führt A.________ Beschwerde in Strafsachen an das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3.1</w:t>
      </w:r>
    </w:p>
    <w:p>
      <w:r>
        <w:t>Nach Art. 383 Abs. 1 StPO kann die Verfahrensleitung der Rechtsmittelinstanz die Privatklägerschaft verpflichten, innert einer Frist für allfällige Kosten und Entschädigungen Sicherheit zu leisten. Art. 136 StPO bleibt vorbehalten ( Art. 383 Abs. 1 Satz 2 StPO ). Wird die Sicherheit nicht fristgerecht geleistet, so tritt die Rechtsmittelinstanz auf das Rechtsmittel nicht ein ( Art. 383 Abs. 2 StPO ).</w:t>
      </w:r>
    </w:p>
    <w:p>
      <w:r>
        <w:rPr>
          <w:b/>
        </w:rPr>
        <w:t>E. 3.2</w:t>
      </w:r>
    </w:p>
    <w:p>
      <w:r>
        <w:t>Die Vorinstanz hat das Gesuch des Beschwerdeführers um unentgeltliche Rechtspflege aufgrund der Aussichtslosigkeit der Beschwerde abgewiesen. Mit diesen Ausführungen setzt sich der Beschwerdeführer jedoch nicht auseinander. Er macht lediglich geltend, ihm fehlten die finanziellen Mittel für einen Prozess und ein Richter müsse von sich aus erkennen, welche Gesetze gebrochen worden seien. Was am angefochtenen Entscheid in tatsächlicher oder rechtlicher Hinsicht fehlerhaft sein sollte, ergibt sich aus der Beschwerde nicht. Damit vermag der Beschwerdeführer den Begründungsanforderungen vor Bundesgericht nicht nachzukommen. Der Begründungsmangel ist offensichtlich ( Art. 42 Abs. 2, Art. 106 Abs. 2 BGG ).</w:t>
      </w:r>
    </w:p>
    <w:p>
      <w:r>
        <w:rPr>
          <w:b/>
        </w:rPr>
        <w:t>E. 4</w:t>
      </w:r>
    </w:p>
    <w:p>
      <w:r>
        <w:t>Auf die Beschwerde ist im Verfahren nach Art. 108 BGG nicht einzutreten. Die Gerichtskosten sind ausgangsgemäss dem Beschwerdeführer aufzuerlegen ( Art. 66 Abs. 1 BGG ). Sein Gesuch um unentgeltliche Rechtspflege ist in Anwendung von Art. 64 BGG wegen Aussichtslosigkeit der Beschwerde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