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7B_838/2023 vom 15. Dezember 2023</w:t>
      </w:r>
    </w:p>
    <w:p>
      <w:r>
        <w:t>Bundesgericht, 2023-12-15, FR</w:t>
      </w:r>
    </w:p>
    <w:p>
      <w:r>
        <w:rPr>
          <w:b/>
        </w:rPr>
        <w:t xml:space="preserve">Quelle: </w:t>
      </w:r>
      <w:r>
        <w:t>https://mcp.opencaselaw.ch/entscheid/bger_7B_838_2023</w:t>
      </w:r>
    </w:p>
    <w:p>
      <w:r>
        <w:t>FR: TF 7B_838/2023 du 15 décembre 2023</w:t>
      </w:r>
    </w:p>
    <w:p>
      <w:r>
        <w:t>IT: TF 7B_838/2023 del 15 dicembre 2023</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1.2</w:t>
      </w:r>
    </w:p>
    <w:p>
      <w:r>
        <w:t>En l'espèce, le recourant ne dit mot, dans son recours, au sujet d'éventuelles prétentions civiles envers la personne contre laquelle il a déposé plainte pénale, soit le juriste du Service des automobiles et de la navigation. De surcroît, ce dernier est un agent de l'État de Vaud et les reproches du recourant se rapportent à un comportement qu'il aurait adopté dans l'exercice de sa fonction, de sorte que seul ce canton répond d'un éventuel dommage, le lésé ne disposant d'aucune action directe contre ce fonctionnaire (cf. art. 3 de la loi vaudoise sur la responsabilité de l'État, des communes et de leurs agents [LRECA/VD; RS/VD 170.11]; ATF 146 IV 76 consid. 3.1). Le recourant ne démontre par conséquent pas avoir qualité pour recourir sur le fond en application de l'art. 81 al. 1 let. a et b ch. 5 LTF.</w:t>
      </w:r>
    </w:p>
    <w:p>
      <w:r>
        <w:rPr>
          <w:b/>
        </w:rPr>
        <w:t>E. 1.3</w:t>
      </w:r>
    </w:p>
    <w:p>
      <w:r>
        <w:t>L'hypothèse visée à l'art. 81 al. 1 let. b ch. 6 LTF n'entre pas en considération, étant donné que le recourant ne soulève aucun grief quant à son droit de porter plainte.</w:t>
      </w:r>
    </w:p>
    <w:p>
      <w:r>
        <w:rPr>
          <w:b/>
        </w:rPr>
        <w:t>E. 1.4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pas être séparés du fond ( ATF 141 IV 1 consid. 1.1). On ne discerne pas, dans l'écriture du recourant, de griefs correspondants, en rapport avec lesquels il aurait qualité pour recourir. L'intéressé se limite en effet à critiquer l'établissement des faits et, sur cette base, l'ordonnance de non-entrée en matière; ce faisant, il ne soulève aucun moyen distinct du fond.</w:t>
      </w:r>
    </w:p>
    <w:p>
      <w:r>
        <w:rPr>
          <w:b/>
        </w:rPr>
        <w:t>E. 2</w:t>
      </w:r>
    </w:p>
    <w:p>
      <w:r>
        <w:t>L'irrecevabilité manifeste du recours doit dès lors être constatée dans la procédure prévue par l' art. 108 al. 1 let. a LTF . Comme le recours était dénué de chances de succès, la demande d'assistance judiciaire doit être rejetée ( art. 64 al. 1 LTF ), ce qui relève également de la compétence du juge unique prévu par l' art. 108 LTF ( art. 64 al. 3 2 e phrase LTF; arrêt 7B_340/2023 du 7 août 2023 consid. 2 et les réf. citées). Le recourant, qui succombe, supportera les frais judiciaires, lesquels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