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7B_833/2025 vom 6. Februar 2026</w:t>
      </w:r>
    </w:p>
    <w:p>
      <w:r>
        <w:t>Bundesgericht, 2026-02-06, DE</w:t>
      </w:r>
    </w:p>
    <w:p>
      <w:r>
        <w:rPr>
          <w:b/>
        </w:rPr>
        <w:t xml:space="preserve">Quelle: </w:t>
      </w:r>
      <w:r>
        <w:t>https://mcp.opencaselaw.ch/entscheid/bger_7B_833_2025</w:t>
      </w:r>
    </w:p>
    <w:p>
      <w:r>
        <w:t>FR: TF 7B_833/2025 du 6 février 2026</w:t>
      </w:r>
    </w:p>
    <w:p>
      <w:r>
        <w:t>IT: TF 7B_833/2025 del 6 febbraio 2026</w:t>
      </w:r>
    </w:p>
    <w:p>
      <w:pPr>
        <w:pStyle w:val="Heading2"/>
      </w:pPr>
      <w:r>
        <w:t>Erwägungen</w:t>
      </w:r>
    </w:p>
    <w:p>
      <w:r>
        <w:rPr>
          <w:b/>
        </w:rPr>
        <w:t>E. 1</w:t>
      </w:r>
    </w:p>
    <w:p>
      <w:r>
        <w:t>Mit Beschluss vom 18. Juni 2025 wies das Kantonsgericht Schwyz die Beschwerde von A.________ gegen eine Nichtanhandnahmeverfügung der Staatsanwaltschaft des Kantons Schwyz vom 21. Januar 2025 ab, soweit es auf sie eintrat.</w:t>
      </w:r>
    </w:p>
    <w:p>
      <w:r>
        <w:rPr>
          <w:b/>
        </w:rPr>
        <w:t>E. 2</w:t>
      </w:r>
    </w:p>
    <w:p>
      <w:r>
        <w:t>Dagegen erhob A.________ am 25. August 2025 beim Bundesgericht Beschwerde in Strafsachen.</w:t>
      </w:r>
    </w:p>
    <w:p>
      <w:r>
        <w:rPr>
          <w:b/>
        </w:rPr>
        <w:t>E. 3</w:t>
      </w:r>
    </w:p>
    <w:p>
      <w:r>
        <w:t>Mit Schreiben vom 22. September 2025 zog der Beschwerdeführer seine Beschwerde zurück. Demzufolge ist das Verfahren nach Art. 32 Abs. 2 BGG vom Instruktionsrichter als Einzelrichter abzuschreiben.</w:t>
      </w:r>
    </w:p>
    <w:p>
      <w:r>
        <w:rPr>
          <w:b/>
        </w:rPr>
        <w:t>E. 4</w:t>
      </w:r>
    </w:p>
    <w:p>
      <w:r>
        <w:t>Wer eine Beschwerde zurückzieht, ist grundsätzlich als unterliegende Partei zu betrachten. Dem Beschwerdeführer sind daher ausgangsgemäss die Gerichtskosten aufzuerlegen (vgl. Art. 66 BGG ). Mangels Einholung von Vernehmlassungen sind der privaten Beschwerdegegnerin vor Bundesgericht keine Aufwendungen entstanden, die nach Art. 68 BGG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