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7B_833/2024 vom 3. September 2024</w:t>
      </w:r>
    </w:p>
    <w:p>
      <w:r>
        <w:t>Bundesgericht, 2024-09-03, FR</w:t>
      </w:r>
    </w:p>
    <w:p>
      <w:r>
        <w:rPr>
          <w:b/>
        </w:rPr>
        <w:t xml:space="preserve">Quelle: </w:t>
      </w:r>
      <w:r>
        <w:t>https://mcp.opencaselaw.ch/entscheid/bger_7B_833_2024</w:t>
      </w:r>
    </w:p>
    <w:p>
      <w:r>
        <w:t>FR: TF 7B_833/2024 du 3 septembre 2024</w:t>
      </w:r>
    </w:p>
    <w:p>
      <w:r>
        <w:t>IT: TF 7B_833/2024 del 3 settembre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 cour cantonale a relevé que l'acte de recours cantonal ne contenait aucune motivation intelligible qui serait dirigée contre les motifs ayant fondé l'ordonnance du 11 juin 2024. Aussi, elle a considéré que le recours ne satisfaisait pas aux exigences de motivation prescrites par l' art. 385 al. 1 CPP (cf. arrêt attaqué, consid. 1.3 p. 6).</w:t>
      </w:r>
    </w:p>
    <w:p>
      <w:r>
        <w:rPr>
          <w:b/>
        </w:rPr>
        <w:t>E. 1.3</w:t>
      </w:r>
    </w:p>
    <w:p>
      <w:r>
        <w:t>Face à la motivation cantonale, le recourant - dont les développements apparaissent peu intelligibles et qui se borne pour l'essentiel à critiquer certaines modalités en lien avec l'exécution de la mesure thérapeutique institutionnelle - échoue à démontrer, par une motivation conforme aux exigences en la matière, en quoi l'autorité précédente aurait violé le droit fédéral (soit en particulier l' art. 385 CPP ) en n'entrant pas en matière sur son recours cantonal.</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du recourant tendant à être dispensé des frais judiciaires doit être rejetée (art. 64 al. 1</w:t>
      </w:r>
    </w:p>
    <w:p>
      <w:r>
        <w:t>a contrario LTF), ce qui relève également de la compétence du juge unique prévu par l' art. 108 LTF ( art. 64 al. 3 2 e phrase LTF; arrêt 7B_81/2024 du 26 janvier 2024 consid. 2 et les réf. citées).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