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7B_829/2024 vom 2. Oktober 2024</w:t>
      </w:r>
    </w:p>
    <w:p>
      <w:r>
        <w:t>Bundesgericht, 2024-10-02, DE</w:t>
      </w:r>
    </w:p>
    <w:p>
      <w:r>
        <w:rPr>
          <w:b/>
        </w:rPr>
        <w:t xml:space="preserve">Quelle: </w:t>
      </w:r>
      <w:r>
        <w:t>https://mcp.opencaselaw.ch/entscheid/bger_7B_829_2024</w:t>
      </w:r>
    </w:p>
    <w:p>
      <w:r>
        <w:t>FR: TF 7B_829/2024 du 2 octobre 2024</w:t>
      </w:r>
    </w:p>
    <w:p>
      <w:r>
        <w:t>IT: TF 7B_829/2024 del 2 ottobre 2024</w:t>
      </w:r>
    </w:p>
    <w:p>
      <w:pPr>
        <w:pStyle w:val="Heading2"/>
      </w:pPr>
      <w:r>
        <w:t>Erwägungen</w:t>
      </w:r>
    </w:p>
    <w:p>
      <w:r>
        <w:rPr>
          <w:b/>
        </w:rPr>
        <w:t>E. 1</w:t>
      </w:r>
    </w:p>
    <w:p>
      <w:r>
        <w:t>A.________ (fortan: Beschwerdeführer) stellte am 20. Oktober 2023 Strafantrag gegen B.________ sowie gegen Unbekannt wegen geringfügiger Sachbeschädigung. Er wirft B.________ vor, am 8. Oktober 2023 die von ihm an der Fassade seiner Wohnung angebrachte Überwachungskamera beschädigt zu haben. Am 16. Januar 2024 verfügte das Statthalteramt des Bezirks Pfäffikon die Nichtanhandnahme des Verfahrens gegen Unbekannt sowie die Einstellung des Verfahrens gegen B.________. Mit Eingabe vom 22. Januar 2024 erhob der Beschwerdeführer Beschwerde gegen die Einstellungsverfügung und beantragte sinngemäss die Weiterführung der Untersuchung. Das Obergericht des Kantons Zürich wies die Beschwerde mit Verfügung vom 27. Juni 2024 ab. Der Beschwerdeführer gelangt mit Eingabe vom 26. Juli 2024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Beschwerdeführer erklärt in seiner Eingabe, "Beschwerde" zu erheben. Inwiefern die Verfügung der Vorinstanz vom 27. Juni 2024 rechtswidrig sein sollte, begründet er mit keinem Wort. Der Begründungsmangel ist offensichtlich ( Art. 42 Abs. 2, Art. 106 Abs. 2 BGG ). Auf die Beschwerde ist im Verfahren nach Art. 108 BGG nicht einzutreten.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