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7B_826/2025 vom 1. Dezember 2025</w:t>
      </w:r>
    </w:p>
    <w:p>
      <w:r>
        <w:t>Bundesgericht, 2025-12-01, FR</w:t>
      </w:r>
    </w:p>
    <w:p>
      <w:r>
        <w:rPr>
          <w:b/>
        </w:rPr>
        <w:t xml:space="preserve">Quelle: </w:t>
      </w:r>
      <w:r>
        <w:t>https://mcp.opencaselaw.ch/entscheid/bger_7B_826_2025</w:t>
      </w:r>
    </w:p>
    <w:p>
      <w:r>
        <w:t>FR: TF 7B_826/2025 du 1 décembre 2025</w:t>
      </w:r>
    </w:p>
    <w:p>
      <w:r>
        <w:t>IT: TF 7B_826/2025 del 1 dicembre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l'arrêt attaqué - selon lesquels le recours était irrecevable car il ne respectait pas les exigences de motivation prévues par l' art. 385 CPP (cf. arrêt attaqué, consid. 1.2.2) -, le recourant n'articule aucune motivation, conforme aux règles en la matière, susceptible de démontrer en quoi l'autorité précédente aurait violé le droit fédéral (soit en particulier l' art. 385 CPP ) en n'entrant pas en matière sur son recours cantonal. Les juges cantonaux ont retenu, à titre superfétatoire, qu'à supposer recevable, son recours devrait quoi qu'il en soit être rejeté aux motifs que, comme relevé par l'OEP, son placement au sein de l'Établissement B.________ et le jugement le condamnant étaient récents et qu'il n'avait dès lors pu ni bénéficier pleinement des soins nécessaires sur le long cours pour stabiliser sa pathologie et éviter tout risque de récidive, ni faire ses preuves dans le cadre de l'élargissement du régime. Le recourant se borne, à cet égard, à indiquer qu'il collaborerait au traitement, sans plus amples explications, ce qui n'est pas suffisant au regard des exigences de motivation. Pour le reste, il invoque, notamment, son irresponsabilité fautive au sens de l' art. 263 CPP , dénonce l'expertise psychiatrique réalisée dans le cadre de l'instruction ayant mené à son jugement, propose un changement de mesure, à savoir le prononcé d'un traitement ambulatoire, et conteste l'appréciation du risque de récidive par les premiers juges, ce qu'il n'est pas recevable à faire dans le cadre de la présente procédure en tant qu'il s'écarte de l'objet du litige.</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Vu la situation personnelle du recourant, qui est détenu et qui agit seul, le présent arrêt sera rendu sans frais (art. 66 al. 1, 2 e phrase, LTF). 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