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7B_823/2023 vom 20. September 2024</w:t>
      </w:r>
    </w:p>
    <w:p>
      <w:r>
        <w:t>Bundesgericht, 2024-09-20, DE</w:t>
      </w:r>
    </w:p>
    <w:p>
      <w:r>
        <w:rPr>
          <w:b/>
        </w:rPr>
        <w:t xml:space="preserve">Quelle: </w:t>
      </w:r>
      <w:r>
        <w:t>https://mcp.opencaselaw.ch/entscheid/bger_7B_823_2023</w:t>
      </w:r>
    </w:p>
    <w:p>
      <w:r>
        <w:t>FR: TF 7B_823/2023 du 20 septembre 2024</w:t>
      </w:r>
    </w:p>
    <w:p>
      <w:r>
        <w:t>IT: TF 7B_823/2023 del 20 settembre 2024</w:t>
      </w:r>
    </w:p>
    <w:p>
      <w:pPr>
        <w:pStyle w:val="Heading2"/>
      </w:pPr>
      <w:r>
        <w:t>Erwägungen</w:t>
      </w:r>
    </w:p>
    <w:p>
      <w:r>
        <w:rPr>
          <w:b/>
        </w:rPr>
        <w:t>E. 1.1</w:t>
      </w:r>
    </w:p>
    <w:p>
      <w:r>
        <w:t>Der angefochtene Entscheid schliesst das gegen den Beschwerdeführer laufende Strafverfahren nicht ab. Es handelt sich um einen selbstständig eröffneten Zwischenentscheid, gegen den die Beschwerde nur unter den Voraussetzungen von Art. 92 f. BGG zulässig ist. Der angefochtene Entscheid betrifft weder die Zuständigkeit noch den Ausstand ( Art. 92 BGG ). Es handelt sich somit um einen "anderen Zwischenentscheid" im Sinne von Art. 93 BGG . Gemäss Abs. 1 dieser Norm ist die Beschwerde gegen einen derartigen Zwischenentscheid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Variante nach Art. 93 Abs. 1 lit. b BGG fällt hier ausser Betracht, weshalb einzig zu prüfen ist, ob der angefochtene Entscheid einen nicht wieder gutzumachenden Nachteil bewirken könnte.</w:t>
      </w:r>
    </w:p>
    <w:p>
      <w:r>
        <w:rPr>
          <w:b/>
        </w:rPr>
        <w:t>E. 1.2</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kann ( BGE 144 IV 127 E. 1.3.1). Ein lediglich tatsächlicher Nachteil wie die Verteuerung oder Verlängerung des Verfahrens genügt nicht ( BGE 149 IV 205 E. 3.3). Denn die Beschwerdevoraussetzungen nach Art. 93 Abs. 1 BGG sollen das Bundesgericht entlasten; dieses soll sich wenn möglich nur einmal mit einer Sache befassen ( BGE 148 IV 155 E. 1.1). Die beschwerdeführende Person muss, wenn das nicht offensichtlich ist, im Einzelnen darlegen, inwiefern ihr ein nicht wieder gutzumachender Nachteil rechtlicher Natur drohen soll. Andernfalls kann auf die Beschwerde nicht eingetreten werden ( BGE 142 III 798 E. 2.2; 137 III 324 E. 1.1; je mit Hinweisen).</w:t>
      </w:r>
    </w:p>
    <w:p>
      <w:r>
        <w:rPr>
          <w:b/>
        </w:rPr>
        <w:t>E. 1.3</w:t>
      </w:r>
    </w:p>
    <w:p>
      <w:r>
        <w:t>Ein nicht wieder gutzumachender Nachteil rechtlicher Natur ist vorliegend nicht ersichtlich: Insbesondere lässt sich ein solcher nicht aus der behaupteten Verletzung von Art. 12 Bundesgesetz vom 23. Juni 2000 über die Freizügigkeit der Anwältinnen und Anwälte (Anwaltsgesetz, BGFA; SR 935.61) herleiten. Denn die in dieser Vorschrift enthaltenen Regeln über die Ausübung des Anwaltsberufs schützen in erster Linie die Interessen des Klienten des Anwalts und nicht diejenigen der Gegenpartei (Urteile 5A_47/2014 vom 27. Mai 2014 E. 4.4; 1B_420/2011 vom 21. November 2011 E. 1.2.2).</w:t>
      </w:r>
    </w:p>
    <w:p>
      <w:r>
        <w:rPr>
          <w:b/>
        </w:rPr>
        <w:t>E. 2</w:t>
      </w:r>
    </w:p>
    <w:p>
      <w:r>
        <w:t>Die Beschwerde erweist sich als unzulässig.</w:t>
      </w:r>
    </w:p>
    <w:p>
      <w:r>
        <w:t>Die Gerichtskosten sind dem Beschwerdeführer aufzuerlegen ( Art. 66 Abs. 1 BGG ). Er ist zu verpflichten, der Beschwerdegegnerin 1 eine angemessene Parteientschädigung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