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7B_821/2025 vom 18. Dezember 2025</w:t>
      </w:r>
    </w:p>
    <w:p>
      <w:r>
        <w:t>Bundesgericht, 2025-12-18, FR</w:t>
      </w:r>
    </w:p>
    <w:p>
      <w:r>
        <w:rPr>
          <w:b/>
        </w:rPr>
        <w:t xml:space="preserve">Quelle: </w:t>
      </w:r>
      <w:r>
        <w:t>https://mcp.opencaselaw.ch/entscheid/bger_7B_821_2025</w:t>
      </w:r>
    </w:p>
    <w:p>
      <w:r>
        <w:t>FR: TF 7B_821/2025 du 18 décembre 2025</w:t>
      </w:r>
    </w:p>
    <w:p>
      <w:r>
        <w:t>IT: TF 7B_821/2025 del 18 dicembre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 recourant ne dit mot, dans son recours, au sujet d'éventuelles prétentions civiles envers les personnes contre lesquelles il a déposé plainte pénale, soit contre les agents de police qui l'ont menotté, mis à terre et emmené au poste de police après son refus d'obtempérer devant le Centre B.________, le 5 juin 2024. De surcroît, ces personnes sont des agents de l'État et les faits dénoncés par le recourant se rapportent au comportement que ceux-ci auraient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 recourant ne disposerait, de toute manière, que de prétentions de droit public à faire valoir non pas contre les auteurs présumés, mais contre l'État. De telles prétentions ne peuvent en tout état pas être invoquées dans le procès pénal par voie d'adhésion et ne constituent donc pas des prétentions civiles au sens de l' art. 81 LTF ( ATF 146 IV 76 consid. 3.1; 138 IV 86 consid. 3.1).</w:t>
      </w:r>
    </w:p>
    <w:p>
      <w:r>
        <w:t>Le recourant ne démontre par conséquent pas avoir qualité pour recourir sur le fond en application de l'art. 81 al. 1 let. a et b ch. 5 LTF.</w:t>
      </w:r>
    </w:p>
    <w:p>
      <w:r>
        <w:rPr>
          <w:b/>
        </w:rPr>
        <w:t>E. 2</w:t>
      </w:r>
    </w:p>
    <w:p>
      <w:r>
        <w:t>Cela étant, le recourant - qui n'invoque aucune violation de ses droits fondamentaux - ne propose aucune motivation, conforme aux exigences accrues en la matière (cf. art. 42 al. 2 et 106 al. 2 LTF), susceptible d'établir qu'il aurait été traité de façon inhumaine ou dégradante (cf. ATF 138 IV 86 consid. 3.1.1; 131 I 455 consid. 1.2.5 et les réf. citées). Il échoue ainsi à fonder sa qualité pour recourir selon les art. 10 al. 3 Cst. , 7 Pacte ONU II, 3 CEDH ou 13 par. 1 de la Convention des Nations Unies contre la torture et autres peines ou traitements cruels, inhumains ou dégradants conclue à New York le 10 décembre 1984 (RS 0.105).</w:t>
      </w:r>
    </w:p>
    <w:p>
      <w:r>
        <w:rPr>
          <w:b/>
        </w:rPr>
        <w:t>E. 3</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4</w:t>
      </w:r>
    </w:p>
    <w:p>
      <w:r>
        <w:t>L'irrecevabilité manifeste du recours doit dès lors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