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7B_81/2026 vom 17. März 2026</w:t>
      </w:r>
    </w:p>
    <w:p>
      <w:r>
        <w:t>Bundesgericht, 2026-03-17, DE</w:t>
      </w:r>
    </w:p>
    <w:p>
      <w:r>
        <w:rPr>
          <w:b/>
        </w:rPr>
        <w:t xml:space="preserve">Quelle: </w:t>
      </w:r>
      <w:r>
        <w:t>https://mcp.opencaselaw.ch/entscheid/bger_7B_81_2026</w:t>
      </w:r>
    </w:p>
    <w:p>
      <w:r>
        <w:t>FR: TF 7B_81/2026 du 17 mars 2026</w:t>
      </w:r>
    </w:p>
    <w:p>
      <w:r>
        <w:t>IT: TF 7B_81/2026 del 17 marzo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l'occurrence, l'autorité précédente a constaté que le courrier du Tribunal des mesures de contrainte du canton de Vaud (ci-après: le TMC) du 6 janvier 2026 n'apportait aucun élément propre à modifier son appréciation. En effet, dans son courrier, le TMC relevait uniquement que la procédure de scellés était close ensuite du jugement du Tribunal fédéral (cf. arrêt 7B_736/2025 du 13 octobre 2025). C'est pourquoi elle a refusé de réexaminer sa décision provisionnelle du 9 janvier 2026.</w:t>
      </w:r>
    </w:p>
    <w:p>
      <w:r>
        <w:rPr>
          <w:b/>
        </w:rPr>
        <w:t>E. 1.3</w:t>
      </w:r>
    </w:p>
    <w:p>
      <w:r>
        <w:t>Face à cette motivation, le recourant se contente en substance de soutenir que l'autorité cantonale aurait commis un déni de justice en s'abstenant "de rendre une décision formelle et motivée, se bornant à renvoyer de manière abstraite à une voie de recours antérieure" et de réitérer l'argument qu'il a développé devant l'autorité cantonale, soit qu'il aurait "apporté un « de nova » documentant l'absence de contrôle totale du TMC". Cette brève argumentation n'est pas de nature à démontrer que les considérations des juges cantonaux précitées violeraient le droit fédéral (cf. art. 42 al. 1 et 2 LTF ) et moins encore un droit fondamental du recourant (cf. art. 106 al. 2 LTF ). Le recourant ne saurait en outre se contenter de prétendre que la situation factuelle a[urait] évolué et que le dommage irréversible [serait] en cours" sans aucunement démontrer ses allégations. Il convient enfin de rappeler au recourant qui multiplie les procédures afin d'empêcher le Ministère public d'"analyse[r] ou exploite[r] les données informatiques saisies" (cf. arrêt 7B_1405/2025 du 12 janvier 2026) que l'ordonnance du 23 juillet 2025 par laquelle le TMC a levé les scellés portant sur le matériel informatique séquestré est définitive et exécutoire (cf. arrêt 7B_736/2025 du 13 octobre 2025).</w:t>
      </w:r>
    </w:p>
    <w:p>
      <w:r>
        <w:rPr>
          <w:b/>
        </w:rPr>
        <w:t>E. 1.4</w:t>
      </w:r>
    </w:p>
    <w:p>
      <w:r>
        <w:t>Au vu de ce qui précède, l'irrecevabilité manifeste du recours doit être constatée dans la procédure simplifiée prévue par l' art. 108 al. 1 let. b LTF .</w:t>
      </w:r>
    </w:p>
    <w:p>
      <w:r>
        <w:rPr>
          <w:b/>
        </w:rPr>
        <w:t>E. 2</w:t>
      </w:r>
    </w:p>
    <w:p>
      <w:r>
        <w:t>Le recourant, qui succombe, supportera les frais judiciaires ( art. 66 al. 1 LTF ).</w:t>
      </w:r>
    </w:p>
    <w:p>
      <w:r>
        <w:t>Par ces motifs, le Président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