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7B_817/2023 vom 20. Dezember 2023</w:t>
      </w:r>
    </w:p>
    <w:p>
      <w:r>
        <w:t>Bundesgericht, 2023-12-20, FR</w:t>
      </w:r>
    </w:p>
    <w:p>
      <w:r>
        <w:rPr>
          <w:b/>
        </w:rPr>
        <w:t xml:space="preserve">Quelle: </w:t>
      </w:r>
      <w:r>
        <w:t>https://mcp.opencaselaw.ch/entscheid/bger_7B_817_2023</w:t>
      </w:r>
    </w:p>
    <w:p>
      <w:r>
        <w:t>FR: TF 7B_817/2023 du 20 décembre 2023</w:t>
      </w:r>
    </w:p>
    <w:p>
      <w:r>
        <w:t>IT: TF 7B_817/2023 del 20 dicembre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En cas d'infractions commises au préjudice d'une communauté héréditaire, les héritiers individuellement sont considérés comme des lésés au sens de l' art. 115 al. 1 CPP . L'héritier lésé qui s'est constitué partie plaignante par le dépôt d'une plainte pénale est, en qualité de partie, légitimé à recourir, sur le plan cantonal, contre la décision de non-entrée en matière, sans le concours des autres héritiers ( ATF 141 IV 380 consid. 2.3.3 à 2.3.5). Ce qui précède vaut pour la procédure devant les autorités cantonales, qui est régie par le Code de procédure pénale. Pour le recours en matière pénale devant le Tribunal fédéral, selon l' art. 81 al. 1 ch. 5 LTF , la partie plaignante ne peut recourir au Tribunal fédéral que si la décision attaquée peut avoir des effets sur le jugement de ses prétentions civiles. Cela implique que la partie plaignante recourante soit titulaire des prétentions civiles. Or lorsqu'il y a plusieurs héritiers, tous les droits et obligations compris dans la succession restent indivis jusqu'au partage ( art. 602 al. 1 CC ). Les héritiers sont propriétaires et disposent en commun, au sens des art. 652 ss CC , des biens qui dépendent de la succession ( art. 602 al. 2 CC ). La communauté héréditaire est - comme la société simple ( art. 530 ss CO ) - une communauté en main commune. En tant que telle, elle constitue une communauté de droit sans personnalité juridique qui, en l'absence de jouissance des droits civils, ne peut pas être titulaire de droits ou être soumise à des obligations. Seuls les héritiers sont titulaires des biens de la succession ( ATF 141 IV 380 consid. 2.3.2 et les références citées). Par conséquent, pour qu'un recours en matière pénale devant le Tribunal fédéral soit recevable dans le cadre d'infractions commises au préjudice d'une communauté héréditaire, il est nécessaire que l'ensemble des héritiers participent à la procédure, dès lors qu'ils ne sont titulaires de prétentions civiles que tous ensemble (cf. arrêts 6B_925/2021 du 29 novembre 2021 consid. 1.2; 6B_824/2020 du 10 février 2021 consid. 1.2; 6B_1306/2018 du 7 janvier 2019 consid. 2).</w:t>
      </w:r>
    </w:p>
    <w:p>
      <w:r>
        <w:rPr>
          <w:b/>
        </w:rPr>
        <w:t>E. 1.2</w:t>
      </w:r>
    </w:p>
    <w:p>
      <w:r>
        <w:t>En l'espèce, la recourante reproche à l'intimée d'avoir géré de manière déloyale l'exploitation de feu E.A.________, notamment après le décès de ce dernier. Elle n'allègue aucunement quelles seraient ses prétentions civiles. Elle se limite à indiquer que c'est dans le cadre de la reprise de la procédure pénale contre l'intimée qu'elle chiffrera ses conclusions civiles correspondant notamment aux montants dont la succession de feu E.A.________ a été frustrée.</w:t>
      </w:r>
    </w:p>
    <w:p>
      <w:r>
        <w:t>Il ressort de l'arrêt attaqué que les héritiers potentiels de feu E.A.________ sont son épouse A.A.________ et sa fille F.________, ce qui, par ailleurs, ne semble pas être contesté par la recourante. Or seule A.A.________ a recouru devant le Tribunal fédéral. Celle-ci ne consacre aucun développement à la question du règlement de la succession. En particulier, elle n'expose pas si et de quelle manière la succession aurait été réglée ou pour quels motifs elle serait seule titulaire des prétentions civiles découlant des infractions prétendument commises au préjudice de la communauté héréditaire, à l'exclusion de F.________. Elle n'établit notamment pas que cette dernière aurait renoncé à ses droits à son profit. Le défaut de motivation sur la question des prétentions civiles exclut dès lors sa qualité pour recourir sur le fond de la cause.</w:t>
      </w:r>
    </w:p>
    <w:p>
      <w:r>
        <w:rPr>
          <w:b/>
        </w:rPr>
        <w:t>E. 1.3</w:t>
      </w:r>
    </w:p>
    <w:p>
      <w:r>
        <w:t>L'hypothèse visée à l'art. 81 al. 1 let. b ch. 6 LTF n'entre pas en considération, étant donné que la recourante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consid.1.1).</w:t>
      </w:r>
    </w:p>
    <w:p>
      <w:r>
        <w:t>En tant que la recourante se plaint d'une violation de son droit d'être entendue en lien avec le refus du Ministère public de donner suite à ses réquisitions de preuve, elle ne démontre pas, et on ne voit pas, en quoi les carences invoquées seraient propres à constituer un déni de justice formel. Le moyen n'est ainsi pas séparé du fond.</w:t>
      </w:r>
    </w:p>
    <w:p>
      <w:r>
        <w:rPr>
          <w:b/>
        </w:rPr>
        <w:t>E. 1.5</w:t>
      </w:r>
    </w:p>
    <w:p>
      <w:r>
        <w:t>Pour le reste, les critiques que soulève la recourante en invoquant les art. 137, 139, 158 CP et 319 al. 1 CPP ainsi que le principe</w:t>
      </w:r>
    </w:p>
    <w:p>
      <w:r>
        <w:t>in dubio pro duriore ont trait au fond de la cause, qu'elle n'a pas qualité pour discuter (cf. consid. 1.2</w:t>
      </w:r>
    </w:p>
    <w:p>
      <w:r>
        <w:t>supra ). Elles sont par conséquent irrecevables.</w:t>
      </w:r>
    </w:p>
    <w:p>
      <w:r>
        <w:t>L'irrecevabilité manifeste du recours doit dès lors être constatée dans la procédure prévue par l' art. 108 al. 1 let. a LTF . La recourante, qui succombe, supportera les frais judiciaires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