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7B_815/2024 vom 22. August 2024</w:t>
      </w:r>
    </w:p>
    <w:p>
      <w:r>
        <w:t>Bundesgericht, 2024-08-22, FR</w:t>
      </w:r>
    </w:p>
    <w:p>
      <w:r>
        <w:rPr>
          <w:b/>
        </w:rPr>
        <w:t xml:space="preserve">Quelle: </w:t>
      </w:r>
      <w:r>
        <w:t>https://mcp.opencaselaw.ch/entscheid/bger_7B_815_2024</w:t>
      </w:r>
    </w:p>
    <w:p>
      <w:r>
        <w:t>FR: TF 7B_815/2024 du 22 août 2024</w:t>
      </w:r>
    </w:p>
    <w:p>
      <w:r>
        <w:t>IT: TF 7B_815/2024 del 22 agosto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retenu que le recourant faisait l'objet de graves soupçons portant sur la commission d'actes susceptibles d'être constitutifs notamment de contrainte sexuelle (commis à plusieurs reprises), de tentative de meurtre, de lésions corporelles simples, de vols, de faux dans les titres, de violence ou menaces contre les autorités et les fonctionnaires et d'infractions à la loi fédérale sur les produits thérapeutiques, les soupçons en question s'étant de surcroît encore renforcés depuis le début de l'instruction. Elle a en outre estimé qu'il existait un risque de collusion, qu'aucune mesure de substitution n'était propre à pallier. Pour le surplus, la durée de la détention - le recourant était incarcéré depuis le 28 mars 2024 - apparaissait conforme au principe de la proportionnalité compte tenu de la gravité des faits dont il était soupçonné (cf. décision attaquée, consid. 18.3, 19.2, 20.3 et 20.4 p. 6 ss).</w:t>
      </w:r>
    </w:p>
    <w:p>
      <w:r>
        <w:rPr>
          <w:b/>
        </w:rPr>
        <w:t>E. 1.3</w:t>
      </w:r>
    </w:p>
    <w:p>
      <w:r>
        <w:t>Face à la motivation de la décision attaquée, le recourant se limite essentiellement, par des explications particulièrement confuses et en utilisant une écriture manuscrite parfois illisible, à présenter sa propre version des faits. On y comprend, en substance, qu'il aurait selon lui été victime de pièges qui lui auraient été tendus par son ex-épouse et par des membres de la famille de cette dernière.</w:t>
      </w:r>
    </w:p>
    <w:p>
      <w:r>
        <w:t>Ce faisant, le recourant ne propose aucune critique, conforme aux exigences en la matière, propre à mettre en évidence en quoi la cour cantonale aurait violé le droit (soit en particulier l' art. 221 CPP ) en prolongeant sa détention provisoire, ni en particulier à démontrer en quoi elle aurait versé dans l'arbitraire en retenant que de forts soupçons de culpabilité pouvaient être déduits des différentes mesures d'instruction menées jusqu'alors.</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