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813/2023 vom 9. November 2023</w:t>
      </w:r>
    </w:p>
    <w:p>
      <w:r>
        <w:t>Bundesgericht, 2023-11-09, FR</w:t>
      </w:r>
    </w:p>
    <w:p>
      <w:r>
        <w:rPr>
          <w:b/>
        </w:rPr>
        <w:t xml:space="preserve">Quelle: </w:t>
      </w:r>
      <w:r>
        <w:t>https://mcp.opencaselaw.ch/entscheid/bger_7B_813_2023</w:t>
      </w:r>
    </w:p>
    <w:p>
      <w:r>
        <w:t>FR: TF 7B 813/2023 du 9 novembre 2023</w:t>
      </w:r>
    </w:p>
    <w:p>
      <w:r>
        <w:t>IT: TF 7B 813/2023 del 9 novembre 2023</w:t>
      </w:r>
    </w:p>
    <w:p>
      <w:pPr>
        <w:pStyle w:val="Heading2"/>
      </w:pPr>
      <w:r>
        <w:t>Regeste</w:t>
      </w:r>
    </w:p>
    <w:p>
      <w:r>
        <w:t>Refus de lever des mesures de substitution à la détention provisoire | Procédure pénale</w:t>
      </w:r>
    </w:p>
    <w:p>
      <w:pPr>
        <w:pStyle w:val="Heading2"/>
      </w:pPr>
      <w:r>
        <w:t>Erwägungen</w:t>
      </w:r>
    </w:p>
    <w:p>
      <w:r>
        <w:rPr>
          <w:b/>
        </w:rPr>
        <w:t>E. 1</w:t>
      </w:r>
    </w:p>
    <w:p>
      <w:r>
        <w:t>Le recours en matière pénale ( art. 78 al. 1 LTF ) est ouvert contre une décision relative aux mesures de substitution à la détention provisoire au sens des art. 237 ss CPP (arrêts 1B_107/2023 du 30 mars 2023 consid. 1; 1B_637/2022 du 26 janvier 2023 consid. 1). Selon l'art. 81 al. 1 let. a et b ch. 1 LTF, la recourante a qualité pour recourir contre l'arrêt attaqué qui confirme les mesures de substitution ordonnées à son égard. Pour le surplus, le recours a été formé en temps utile ( art. 100 al. 1 LTF ) contre une décision rendue par une autorité statuant en tant que dernière instance cantonale ( art. 80 LTF ). Il y a donc lieu d'entrer en matière.</w:t>
      </w:r>
    </w:p>
    <w:p>
      <w:r>
        <w:rPr>
          <w:b/>
        </w:rPr>
        <w:t>E. 2</w:t>
      </w:r>
    </w:p>
    <w:p>
      <w:r>
        <w:t>La recourante ne conteste pas l'existence de charges suffisantes (cf. art. 221 al. 1 CPP ), ni celle d'un risque de réitération (cf. art. 221 al. 1 let . c CPP), pas plus qu'elle ne revient, en soi, sur le bien-fondé du prononcé de mesures de substitution au sens de l' art. 237 al. 1 CPP .</w:t>
      </w:r>
    </w:p>
    <w:p>
      <w:r>
        <w:rPr>
          <w:b/>
        </w:rPr>
        <w:t>E. 3</w:t>
      </w:r>
    </w:p>
    <w:p>
      <w:r>
        <w:t>Invoquant notamment une violation de l' art. 237 al. 5 CPP ainsi que du principe de la proportionnalité ( art. 36 al. 3 Cst. ), la recourante concentre ses critiques sur le refus de la cour cantonale d'adapter les mesures de substitution en vigueur, depuis le 4 juillet 2023 et jusqu'au 4 janvier 2024, à son statut de candidate, dans le canton de Genève, aux élections fédérales des 22 octobre 2023 (Conseil des États [premier tour] et Conseil national) et 12 novembre 2023 (Conseil des États [second tour]).</w:t>
      </w:r>
    </w:p>
    <w:p>
      <w:r>
        <w:rPr>
          <w:b/>
        </w:rPr>
        <w:t>E. 3.1.1</w:t>
      </w:r>
    </w:p>
    <w:p>
      <w:r>
        <w:t>Conformément au principe de la proportionnalité ( art. 36 al. 3 Cst. et 197 al. 1 let. c CPP), il appartient au juge de la détention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et les arrêts cités).</w:t>
      </w:r>
    </w:p>
    <w:p>
      <w:r>
        <w:rPr>
          <w:b/>
        </w:rPr>
        <w:t>E. 3.1.2</w:t>
      </w:r>
    </w:p>
    <w:p>
      <w:r>
        <w:t>Selon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Dans la mesure où le prévenu respecte les conditions qui lui ont été imposées, il n'est donc possible de revenir sur une décision antérieure que si de nouvelles circonstances l'exigent (arrêts 1B_79/2019 du 15 mars 2019 consid. 3.4; 1B_473/2012 du 12 septembre 2012 consid. 5.5). En revanche, si le prévenu ne respecte pas ses obligations, les mesures de substitution peuvent être révoquées ou modifiées même si aucune circonstance nouvelle n'est intervenue par ailleurs (arrêts 1B_79/2019 du 15 mars 2019 consid. 3.4; 1B_173/2013 du 29 mai 2013 consid. 4.3). Le tribunal compétent dispose d'un large pouvoir d'appréciation dans l'application de l' art. 237 al. 5 CPP , comme cela ressort de la formulation potestative de la disposition (arrêt 7B_159/2023 du 13 juillet 2023 consid. 2.2). Le principe de la proportionnalité lui impose néanmoins de choisir, lorsque des mesures de substitution alternatives entrent en considération, celles qui sont les moins incisives par rapport au risque à pallier (MANFRIN/VOGEL, in Basler Kommentar, Strafprozessordnung, 3e éd. 2023, n° 113 ad art. 237 CPP ; CHRISTIAN COQUOZ, in Commentaire romand, Code de procédure pénale suisse, 2e éd. 2019, n° 2 ad art. 237 CPP ).</w:t>
      </w:r>
    </w:p>
    <w:p>
      <w:r>
        <w:rPr>
          <w:b/>
        </w:rPr>
        <w:t>E. 3.2.1</w:t>
      </w:r>
    </w:p>
    <w:p>
      <w:r>
        <w:t>Il n'est guère contestable que la recourante présente un risque particulièrement élevé de réitération d'infractions contre l'honneur (diffamation, calomnie, injure), voire également contre la liberté (contrainte, menaces), qui pourraient être commises notamment au préjudice de B.________ et des parents de celui-ci. Il ressort ainsi de l'arrêt attaqué que la recourante a fait l'objet de mesures de substitution sous la forme, depuis le 12 avril 2022, d'une interdiction de contact avec les plaignants "par quelque moyen que ce soit (notamment courrier postal, courrier électronique, messageries en tous genres, réseaux sociaux) " ainsi que, depuis le 15 novembre 2022, sous la forme d'une interdiction "de tenir par écrit ou oralement, en dehors [du cadre judiciaire], quelque propos que ce soit à l'encontre des plaignants de nature à porter atteinte à leur honneur ou se rapportant aux faits [qui font l'objet de procédures pénales]". Or la recourante a été arrêtée par la police à au moins trois reprises durant cette période (14 septembre 2022, 1er novembre 2022 et 3 juillet 2023) en raison de "nouveaux faits", qui lui ont notamment valu d'être placée en détention provisoire du 1er novembre 2022 au 31 décembre 2022. Le rapport d'expertise psychiatrique, établi le 5 février 2023, relève du reste que la recourante souffre d'un trouble sévère de la personnalité ayant pour conséquence une "quérulence d'une ampleur peu commune". Selon les experts, la recourante "choisissait délibérément d'enfreindre les ordonnances pénales et mesures de substitution prononcées contre elle", le risque de réitération étant ainsi "non seulement avéré mais [aussi] assumé" par l'intéressée (cf. arrêt attaqué, "En fait", let. B, p. 2 ss).</w:t>
      </w:r>
    </w:p>
    <w:p>
      <w:r>
        <w:rPr>
          <w:b/>
        </w:rPr>
        <w:t>E. 3.2.2</w:t>
      </w:r>
    </w:p>
    <w:p>
      <w:r>
        <w:t>Pour autant, en tant qu'elle porte sur une "interdiction absolue de procéder à quelque publication que ce soit, de quelque nature que ce soit, [ce] par quelques canaux ou sur quelques réseaux que ce soit", la mesure de substitution litigieuse apparaît particulièrement invasive. En particulier, dès lors qu'elle ne se rapporte pas directement au risque à prendre en considération en l'espèce et aux infractions redoutées, l'interdiction litigieuse, telle que formulée, pourrait avoir pour effet de causer à la recourante une atteinte disproportionnée à ses libertés d'opinion et d'expression ( art. 16 al. 1 et 2 Cst. ; art. 10 CEDH ), voire, eu égard à son statut de candidate aux élections fédérales, à ses droits politiques ( art. 34 al. 1 Cst. ).</w:t>
      </w:r>
    </w:p>
    <w:p>
      <w:r>
        <w:rPr>
          <w:b/>
        </w:rPr>
        <w:t>E. 3.2.3</w:t>
      </w:r>
    </w:p>
    <w:p>
      <w:r>
        <w:t>Certes, l'expérience a démontré, selon les constatations cantonales, qu'une mesure de substitution sous la forme d'une interdiction de publication faisant mention des plaignants, telle que celle en vigueur jusqu'au 3 juillet 2023, n'avait pas dissuadé la recourante de commettre de nouveaux actes répréhensibles au préjudice des plaignants. Il n'est toutefois pas fait état, dans l'arrêt attaqué, de tels actes répréhensibles qui auraient été commis entre le 4 juillet 2023 - date de l'entrée en vigueur de la mesure litigieuse - et le 16 août 2023 - date à laquelle la recourante a requis la levée de cette mesure -, ni même d'ailleurs après cette dernière date. Or, en l'absence de tels actes, il ne pouvait pas d'emblée être exclu que, moyennant le rappel de la teneur de l' art. 237 al. 5 CPP et en particulier de l'éventualité d'un placement en détention provisoire en cas de non-respect de ses obligations, la recourante soit en mesure de faire la part des choses et en particulier de s'abstenir, dans le cadre de la campagne électorale qu'elle entendait mener et, plus généralement, dans le cadre de ses activités politiques, de tenir des propos susceptibles de porter atteinte à l'honneur des plaignants.</w:t>
      </w:r>
    </w:p>
    <w:p>
      <w:r>
        <w:rPr>
          <w:b/>
        </w:rPr>
        <w:t>E. 3.2.4</w:t>
      </w:r>
    </w:p>
    <w:p>
      <w:r>
        <w:t>Cela étant, il apparaît qu'en formulant à l'égard de la recourante une mesure de substitution ne lui laissant en définitive aucune possibilité de s'exprimer publiquement sur quelque sujet que ce soit, la cour cantonale a violé le principe de la proportionnalité.</w:t>
      </w:r>
    </w:p>
    <w:p>
      <w:r>
        <w:rPr>
          <w:b/>
        </w:rPr>
        <w:t>E. 4</w:t>
      </w:r>
    </w:p>
    <w:p>
      <w:r>
        <w:t>Il s'ensuit que le recours doit être admis, l'arrêt attaqué annulé et la cause renvoyée à la cour cantonale pour qu'elle rende une nouvelle décision à brève échéance. Il ne sera pas perçu de frais judiciaires ( art. 66 al. 4 LTF ), ni alloué de dépens ( art. 68 al. 1 LTF ), attendu qu'en l'occurrence la recourante a agi sans l'assistance d'un mandataire professionnel; ce dernier point rend au surplus également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