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812/2024 vom 6. Januar 2025</w:t>
      </w:r>
    </w:p>
    <w:p>
      <w:r>
        <w:t>Bundesgericht, 2025-01-06, DE</w:t>
      </w:r>
    </w:p>
    <w:p>
      <w:r>
        <w:rPr>
          <w:b/>
        </w:rPr>
        <w:t xml:space="preserve">Quelle: </w:t>
      </w:r>
      <w:r>
        <w:t>https://mcp.opencaselaw.ch/entscheid/bger_7B_812_2024</w:t>
      </w:r>
    </w:p>
    <w:p>
      <w:r>
        <w:t>FR: TF 7B 812/2024 du 6 janvier 2025</w:t>
      </w:r>
    </w:p>
    <w:p>
      <w:r>
        <w:t>IT: TF 7B 812/2024 del 6 gennaio 2025</w:t>
      </w:r>
    </w:p>
    <w:p>
      <w:pPr>
        <w:pStyle w:val="Heading2"/>
      </w:pPr>
      <w:r>
        <w:t>Regeste</w:t>
      </w:r>
    </w:p>
    <w:p>
      <w:r>
        <w:t>Nichtanhandnahme | Strafprozess</w:t>
      </w:r>
    </w:p>
    <w:p>
      <w:pPr>
        <w:pStyle w:val="Heading2"/>
      </w:pPr>
      <w:r>
        <w:t>Erwägungen</w:t>
      </w:r>
    </w:p>
    <w:p>
      <w:r>
        <w:rPr>
          <w:b/>
        </w:rPr>
        <w:t>E. 1.1</w:t>
      </w:r>
    </w:p>
    <w:p>
      <w:r>
        <w:t>Die Privatklägerschaft bzw. wie vorliegend der Anzeigeerstatter, der sich mangels Verfahrenseröffnung noch nicht als Privatkläger konsitutieren konnte,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je mit Hinweisen). Die Rechtsprechung stellt strenge Anforderungen an die Begründung der Legitimation, namentlich, wenn sich die Beschwerde gegen die Nichtanhandnahme oder Einstellung eines Verfahrens richtet (ausführlich hierzu Urteile 7B_182/2024 vom 26. März 2024 E. 2.1.2; 7B_18/2024 vom 14. März 2024 E. 2; je mit Hinweisen). Insbesondere genügt nicht, dass die Privatklägerschaft lediglich behauptet, von der fraglichen Straftat betroffen zu sein; sie muss vielmehr die Anspruchsvoraussetzungen und namentlich den erlittenen Schaden genau substanziieren und letzteren, soweit möglich, beziffern (Urteile 7B_751/2024 vom 27. November 2024 E. 1; 7B_419/2024 vom 4. Juni 2024 E. 1.2; 7B_18/2024 vom 14. März 2024 E. 2; je mit Hinweisen).</w:t>
      </w:r>
    </w:p>
    <w:p>
      <w:r>
        <w:rPr>
          <w:b/>
        </w:rPr>
        <w:t>E. 1.2</w:t>
      </w:r>
    </w:p>
    <w:p>
      <w:r>
        <w:t>Der Beschwerdeführer macht zu Recht nicht geltend, dass er über Ansprüche zivilrechtlicher Natur gegenüber Adrian Berlinger und die bei der Hausdurchsuchung handelnden Polizeibeamten verfügt, wären diese doch öffentlichrechtlicher Natur. Hingegen trägt er zur Begründung einer Zivilforderung folgende Argumentation vor: Im Strafbefehl sei ihm eine Parteikostenentschädigung auferlegt worden, die sich infolge Amtsmissbrauchs von Adrian Berlinger als ungerechtfertigt erweise. Ihm stünden daher "zivilrechtliche Rückforderungsansprüche aus ungerechtfertigter Bereicherung" zu. Diese Argumentation verfängt nicht: Wie der Beschwerdeführer selber ausführt, entsteht nicht aus dem allfälligen Amtsmissbrauch selbst eine Zivilforderung, sondern es müsste auf einen Schuldspruch hin zuerst die Revision des Strafbefehls nach Art. 410 Abs. 1 lit. c StPO verlangt werden. Erst dann entstünde hinsichtlich einer schon geleisteten Parteikostenentschädigung ein Rückerstattungsanspruch, der möglicherweise bereicherungsrechtlicher Natur ( Art. 62 ff. OR ) wäre ( condictio ob causam finitam ). Dieser Anspruch richtete sich aber nicht gegen den beschuldigten Staatsanwalt, sondern gegen die Empfängerin der Parteikostenentschädigung, also die Privatklägerin im Strafverfahren gegen den Beschwerdeführer wegen übler Nachrede und Beschimpfung. Damit verkennt der Beschwerdeführer, dass es im Rahmen der Legitimationsregel von Art. 81 Abs. 1 lit. b Ziff. 5 BGG ausschliesslich auf die Zivilansprüche gegen die beschuldigte Person ankommt, nicht auf mögliche Zivilansprüche gegen Dritte (Urteile 7B_481/2024 vom 20. August 2024 E. 1.2; 7B_375/2023 vom 21. Februar 2024 E. 1.3.2 mit Hinweisen). Es handelt sich bei der geltend gemachten Forderung folglich schon aus diesem Grund nicht um einen Zivilanspruch im Sinne von Art. 81 Abs. 1 lit. b Ziff. 5 BGG. Die Frage, ob Kondiktionsansprüche überhaupt unter diesen Begriff fallen, braucht bei diesem Befund nicht vertieft zu werden.</w:t>
      </w:r>
    </w:p>
    <w:p>
      <w:r>
        <w:rPr>
          <w:b/>
        </w:rPr>
        <w:t>E. 1.3</w:t>
      </w:r>
    </w:p>
    <w:p>
      <w:r>
        <w:t>Ohne im Sinne von Art. 81 Abs. 1 lit. b Ziff. 5 BGG zur Beschwerde legitimiert zu sein, kann sich die Privatklägerschaft in der Sache dennoch gegen eine Verfahrenseinstellung bzw. eine Nichtanhandnahme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7B_419/2024 vom 4. Juni 2024 E. 4.1; 7B_472/2023 vom 7. November 2023 E. 3.1; je mit Hinweisen). Nach den zitierten Normen ist Folter und jede andere Art grausamer, unmenschlicher oder erniedrigender Behandlung oder Bestrafung verboten. Um unter diese Bestimmungen zu fallen, muss eine Behandlung ein Mindestmass an Schwere erreichen. Die Würdigung des Mindestmasses hängt von den gesamten Umständen des Falles ab, insbesondere von der Dauer der Behandlung, ihren physischen und psychischen Auswirkungen sowie allenfalls vom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Urteile des Europäischen Gerichtshofes für Menschenrechte [EGMR] Dembele gegen die Schweiz vom 24. September 2013, Nr. 74010/11, § 39; Budina gegen Russland vom 18. Juni 2009, Nr. 45603/05, § 3). Als unmenschliche oder erniedrigende Behandlung gilt mit anderen Worten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(zum Ganzen: Urteile 7B_16/2023 vom 10. Januar 2024 E. 2.2; 7B_472/2023 vom 7. November 2023 E. 3.1; je mit Hinweisen).</w:t>
      </w:r>
    </w:p>
    <w:p>
      <w:r>
        <w:rPr>
          <w:b/>
        </w:rPr>
        <w:t>E. 1.4</w:t>
      </w:r>
    </w:p>
    <w:p>
      <w:r>
        <w:t>Soweit sich der Beschwerdeführer auf das Verbot unmenschlicher oder erniedrigender Behandlung bezieht, vermag er keine Beschwerdelegitimation darzutun. Er beruft sich zwar auf eine Verletzung von Art. 3 EMRK ; zur Begründung führt er jedoch lediglich an, er sei während des Transports zum Polizeiposten in unnötiger Weise mit Handschellen gefesselt worden. Darüber hinaus wird nicht geltend gemacht, dass die Polizeibeamten unnötig Gewalt angewendet hätten (anders etwa der Sachverhalt gemäss dem vom Beschwerdeführer zitierten Urteil 6B_979/2016 vom 20. Februar 2017). Das Vorgehen der Polizei stellt somit - soweit sich die Fesselung überhaupt als unverhältnismässig erweisen sollte - noch keine Misshandlung dar, welche die von der Rechtsprechung erforderliche Schwere erreicht. Auch gestützt auf Art. 3 EMRK lässt sich mithin keine Beschwerdelegitimation ableiten.</w:t>
      </w:r>
    </w:p>
    <w:p>
      <w:r>
        <w:rPr>
          <w:b/>
        </w:rPr>
        <w:t>E. 2</w:t>
      </w:r>
    </w:p>
    <w:p>
      <w:r>
        <w:t>Damit erweist sich die Beschwerde als unzulässig. Auf sie ist nicht einzutreten.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