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7B_811/2023 vom 20. Dezember 2023</w:t>
      </w:r>
    </w:p>
    <w:p>
      <w:r>
        <w:t>Bundesgericht, 2023-12-20, DE</w:t>
      </w:r>
    </w:p>
    <w:p>
      <w:r>
        <w:rPr>
          <w:b/>
        </w:rPr>
        <w:t xml:space="preserve">Quelle: </w:t>
      </w:r>
      <w:r>
        <w:t>https://mcp.opencaselaw.ch/entscheid/bger_7B_811_2023</w:t>
      </w:r>
    </w:p>
    <w:p>
      <w:r>
        <w:t>FR: TF 7B_811/2023 du 20 décembre 2023</w:t>
      </w:r>
    </w:p>
    <w:p>
      <w:r>
        <w:t>IT: TF 7B_811/2023 del 20 dicembre 2023</w:t>
      </w:r>
    </w:p>
    <w:p>
      <w:pPr>
        <w:pStyle w:val="Heading2"/>
      </w:pPr>
      <w:r>
        <w:t>Erwägungen</w:t>
      </w:r>
    </w:p>
    <w:p>
      <w:r>
        <w:rPr>
          <w:b/>
        </w:rPr>
        <w:t>E. 1</w:t>
      </w:r>
    </w:p>
    <w:p>
      <w:r>
        <w:t>Die Beschwerdeführerin stellte am 13. März 2023 Strafantrag gegen Unbekannt wegen Gefährdung von Leib und Leben durch Verletzung der Regeln der Baukunde. Die Bodenplatten an der Bushaltestelle Ebnat in Fahrtrichtung Schaffhausen verfügten über keinen sog. Besenstrich, was gesetzwidrig sei. Aufgrund dieses Mangels sei sie am 21. Februar 2022 mit ihrem Kleinmotorrad gestürzt. Die Staatsanwaltschaft des Kantons Schaffhausen nahm am 10. Juli 2023 das Strafverfahren nicht an die Hand. Die gegen die Nichtanhandnahmeverfügung erhobene Beschwerde wies das Obergericht des Kantons Schaffhausen mit Entscheid vom 26. September 2023 ab. Die Beschwerdeführerin beantragt dem Bundesgericht mit Beschwerde in Strafsachen, der Entscheid des Obergerichts sei aufzuheben und die Staatsanwaltschaft sei anzuweisen, die Strafuntersuchung weiterzuführen. Zudem ersucht sie um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3</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w:t>
      </w:r>
    </w:p>
    <w:p>
      <w:r>
        <w:t>Der Unfall der Beschwerdeführerin, welcher dem von ihr angestrengten Strafverfahren zugrunde liegt, ereignete sich - wie sie selbst ausführt (Beschwerde S. 1) und wovon auch die Vorinstanz ausgegangen ist (angefochtener Entscheid E. 3.4) - auf einer öffentlichen Strasse. Für die öffentlichen Strassen sind Bund, Kantone und Gemeinden zuständig, womit öffentlich-rechtliche und nicht zivilrechtliche Ansprüche im Vordergrund stehen. Aus der Beschwerde bzw. deren Beilagen ergibt sich denn auch, dass sie die Anzeige gegen Unbekannt erstattet hatte, da ihr nicht bekannt gewesen sei, wer zu dem aus ihrer Sicht massgeblichen Zeitpunkt des Einbaus der Bodenplatten im Kanton Schaffhausen Kantonsingenieur gewesen sei (so vermerkt in ihrer Beschwerde an das Obergericht, S. 3, wo drei frühere Kantonsingenieure namentlich aufgeführt werden). Die Beschwerdeführerin geht also selbst von einen Anspruch gegenüber einem (früheren) Kantonsingenieur aus - dabei handelte es sich um einen öffentlich-rechtlichen Anspruch (vgl. Art. 3 Abs. 1 Haftungsgesetz; SR/SH 170.300). Bei dieser Ausgangslage ist kein Zivilanspruch im Sinne von Art. 81 Abs. 1 lit. b Ziff. 5 BGG ersichtlich; entsprechend wäre die Beschwerdeführerin gehalten, sich zu ihrer Beschwerdelegitimation zu äussern. Da sie dies unterlässt, kommt sie den strengen Begründungsanforderungen nicht nach.</w:t>
      </w:r>
    </w:p>
    <w:p>
      <w:r>
        <w:rPr>
          <w:b/>
        </w:rPr>
        <w:t>E. 5</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(vgl. Urteil 6B_574/2022 vom 15. Juni 2022 E. 3.1; vgl. auch BGE 136 IV 41 E. 1.4; je mit Hinweisen). Die Beschwerdeführerin äussert keine solchen formellen Einwendungen, die nicht auf eine Überprüfung in der Sache abzielen, weshalb auch unter diesem Titel nicht auf die Beschwerde eingetreten werden kann.</w:t>
      </w:r>
    </w:p>
    <w:p>
      <w:r>
        <w:rPr>
          <w:b/>
        </w:rPr>
        <w:t>E. 6</w:t>
      </w:r>
    </w:p>
    <w:p>
      <w:r>
        <w:t>Auf die Beschwerde ist im Verfahren nach Art. 108 BGG nicht einzutreten. Die Gerichtskosten sind der Beschwerdeführerin aufzuerlegen ( Art. 66 Abs. 1 BGG ). Das Gesuch um unentgeltliche Rechtspflege ist wegen offensichtlicher Aussichtslosigkeit der Beschwerde abzuweisen ( Art. 64 Abs. 1 BGG ). In Anbetracht der Umstände wird ausnahmsweise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