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7B_809/2024 vom 23. September 2024</w:t>
      </w:r>
    </w:p>
    <w:p>
      <w:r>
        <w:t>Bundesgericht, 2024-09-23, DE</w:t>
      </w:r>
    </w:p>
    <w:p>
      <w:r>
        <w:rPr>
          <w:b/>
        </w:rPr>
        <w:t xml:space="preserve">Quelle: </w:t>
      </w:r>
      <w:r>
        <w:t>https://mcp.opencaselaw.ch/entscheid/bger_7B_809_2024</w:t>
      </w:r>
    </w:p>
    <w:p>
      <w:r>
        <w:t>FR: TF 7B_809/2024 du 23 septembre 2024</w:t>
      </w:r>
    </w:p>
    <w:p>
      <w:r>
        <w:t>IT: TF 7B_809/2024 del 23 settembre 2024</w:t>
      </w:r>
    </w:p>
    <w:p>
      <w:pPr>
        <w:pStyle w:val="Heading2"/>
      </w:pPr>
      <w:r>
        <w:t>Erwägungen</w:t>
      </w:r>
    </w:p>
    <w:p>
      <w:r>
        <w:rPr>
          <w:b/>
        </w:rPr>
        <w:t>E. 1</w:t>
      </w:r>
    </w:p>
    <w:p>
      <w:r>
        <w:t>A.________ (nachfolgend: Beschwerdeführerin) gelangte mit Beschwerde gegen die Nichtanhandnahmeverfügung der Staatsanwaltschaft Zürich-Limmat vom 28. März 2024 an das Obergericht des Kantons Zürich. Dieses verpflichtete die Beschwerdeführerin mit Verfügung vom 14. Mai 2024, innert 10 Tagen zur Deckung der allfällig sie treffenden Prozesskosten eine Prozesskaution von einstweilen Fr. 1'800.-- zu leisten, unter der Androhung, dass sonst auf die Beschwerde nicht eingetreten werde.</w:t>
      </w:r>
    </w:p>
    <w:p>
      <w:r>
        <w:rPr>
          <w:b/>
        </w:rPr>
        <w:t>E. 2</w:t>
      </w:r>
    </w:p>
    <w:p>
      <w:r>
        <w:t>Die Beschwerdeführerin gelangt ans Bundesgericht und beantragt im Wesentlichen, die obergerichtliche Verfügung sei "für nichtig zu erklären und aufzuheben" und die Vorinstanz sei "gerichtlich anzuweisen, mir eine 30 tägige erstreckbare Frist anzusetzen, den Kostenvorschuss zu leisten".</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4.1</w:t>
      </w:r>
    </w:p>
    <w:p>
      <w:r>
        <w:t>Die Vorinstanz weist in der angefochtenen Verfügung auf die Bestimmung von Art. 383 StPO hin, wonach die Privatklägerschaft - unabhängig vom allfälligen Verfahrensausgang - verpflichtet werden könne, innert einer Frist für allfällige Kosten und Entschädigungen einen Geldbetrag als Sicherheit zu hinterlegen (Abs. 1). Werde die Sicherheit nicht fristgerecht geleistet, so trete sie auf die Beschwerde nicht ein (Abs. 2). Im Weiteren hält die Vorinstanz fest, "vor dem Hintergrund der per 1. Januar 2024 neu geschaffenen Bestimmung in Art. 397 Abs. 5 StPO (Konkretisierung des Beschleunigungsgebots) " werde die Frist zur Leistung der Prozesskaution auf 10 Tage festgesetzt.</w:t>
      </w:r>
    </w:p>
    <w:p>
      <w:r>
        <w:rPr>
          <w:b/>
        </w:rPr>
        <w:t>E. 4.2</w:t>
      </w:r>
    </w:p>
    <w:p>
      <w:r>
        <w:t>Die Beschwerdeführerin wendet vor Bundesgericht ein, sie wisse "aus Erfahrung", dass es "Gerichtspraxis" der Vorinstanz sei, eine 30-tägige Frist anzusetzen, wenn sie einen Kostenvorschuss einverlange. Auf Grund dessen sei sie "erstaunt", dass die Vorinstanz ihr "diesmal nur eine 10 tägige nicht erstreckbare Frist angesetzt hat, einen relativ hohen Kostenvorschuss von CHF 1800 zu leisten". Dies scheine "willkürlich zu sein sowie auch überspitzt formalistisch". Zum einen legt die Beschwerdeführerin nicht dar, inwiefern die Höhe der einverlangten Kaution den Verhältnissen der des Beschwerdeverfahrens zu Grunde liegenden Sache nicht angemessen sein sollte. Zum anderen begründet sie nicht und ist nicht offensichtlich, dass die Vorinstanz Bundesrecht verletzt hätte, indem sie die Frist zur Leistung der Sicherheit auf 10 Tage festsetzte. Darüber hinaus macht die Beschwerdeführerin auch nicht geltend, sie hätte vor der Vorinstanz eine Fristerstreckung verlangt (vgl. Art. 92 StPO ). Wenn sie - "als eine erfahren[e] Prozessführerin" - im Übrigen behauptet, die Vorinstanz hätte sie als Laiin darauf aufmerksam machen müssen, dass sie Anspruch auf unentgeltliche Rechtspflege habe, falls sie den Kostenvorschuss nicht leisten könne, macht sie weder geltend, darum im kantonalem Verfahren ersucht zu haben (vgl. Art. 383 Abs. 1 Satz 2 i.V.m. Art. 136 StPO ), noch inwiefern sie überhaupt die Voraussetzungen gemäss Art. 136 StPO erfüllen würde. Damit kommt die Beschwerdeführerin den Begründungsanforderungen vor Bundesgericht nicht nach. Der Begründungsmangel ist offensichtlich ( Art. 42 Abs. 2, Art. 106 Abs. 2 BGG ).</w:t>
      </w:r>
    </w:p>
    <w:p>
      <w:r>
        <w:rPr>
          <w:b/>
        </w:rPr>
        <w:t>E. 5</w:t>
      </w:r>
    </w:p>
    <w:p>
      <w:r>
        <w:t>Auf die Beschwerde ist im Verfahren nach Art. 108 BGG nicht einzutreten.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