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7B_803/2024 vom 19. August 2024</w:t>
      </w:r>
    </w:p>
    <w:p>
      <w:r>
        <w:t>Bundesgericht, 2024-08-19, DE</w:t>
      </w:r>
    </w:p>
    <w:p>
      <w:r>
        <w:rPr>
          <w:b/>
        </w:rPr>
        <w:t xml:space="preserve">Quelle: </w:t>
      </w:r>
      <w:r>
        <w:t>https://mcp.opencaselaw.ch/entscheid/bger_7B_803_2024</w:t>
      </w:r>
    </w:p>
    <w:p>
      <w:r>
        <w:t>FR: TF 7B_803/2024 du 19 août 2024</w:t>
      </w:r>
    </w:p>
    <w:p>
      <w:r>
        <w:t>IT: TF 7B_803/2024 del 19 agosto 2024</w:t>
      </w:r>
    </w:p>
    <w:p>
      <w:pPr>
        <w:pStyle w:val="Heading2"/>
      </w:pPr>
      <w:r>
        <w:t>Erwägungen</w:t>
      </w:r>
    </w:p>
    <w:p>
      <w:r>
        <w:rPr>
          <w:b/>
        </w:rPr>
        <w:t>E. 1</w:t>
      </w:r>
    </w:p>
    <w:p>
      <w:r>
        <w:t>Die Staatsanwaltschaft Basel-Landschaft führt eine Strafuntersuchung gegen A.________ wegen des Verdachts auf mehrfache einfache Verletzung der Verkehrsregeln und Benützung einer Nationalstrasse ohne Vignette. Im Rahmen dieser Strafuntersuchung beschlagnahmte die Staatsanwaltschaft am 29. Februar 2024 einen von A.________ abgehobenen Bargeldbetrag in der Höhe von Fr. 500.-- als Depositum zur Deckung der zu erwartenden Geldstrafen, Bussen, Verfahrenskosten und Gebühren. Gegen den Beschlagnahmebefehl erhob A.________ Beschwerde an das Kantonsgericht Basel-Landschaft. Dieses wies die Beschwerde mit Beschluss vom 30. April 2024 ab. Mit Eingabe vom 12. Juli 2024 erhob A.________ Beschwerde gegen diesen Entscheid beim Kantonsgericht und beantragte sinngemäss die Aufhebung des angefochtenen Entscheids. Er bat das Kantonsgericht, die Beschwerde an das Bundesgericht weiterzuleiten. Dieser Aufforderung kam das Kantonsgericht mit Schreiben vom 18. Juli 2024 nach und leitete die Beschwerde an das Bundesgericht weiter.</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die gerügten Grundrechte verstossen soll.</w:t>
      </w:r>
    </w:p>
    <w:p>
      <w:r>
        <w:rPr>
          <w:b/>
        </w:rPr>
        <w:t>E. 3</w:t>
      </w:r>
    </w:p>
    <w:p>
      <w:r>
        <w:t>Der Beschwerdeführer setzt sich mit der Begründung des angefochtenen Beschlusses nicht nachvollziehbar und hinreichend substanziiert auseinander. Stattdessen legt er seine Sicht der Dinge dar und beschreibt seine "wirtschaftlichen Zwänge". Er macht insbesondere geltend, die Staatsanwaltschaft habe nicht Rücksicht darauf genommen, dass sich seine Mietrückstandsituation durch die Beschlagnahme noch weiter verschärfe. Damit legt der Beschwerdeführer allerdings nicht rechtsgenüglich dar, inwiefern durch die dem ausführlich begründeten Beschluss der Vorinstanz zugrunde liegende Begründung bzw. durch den Beschluss selbst im Ergebnis Recht im Sinne von Art. 42 Abs. 2 BGG verletzt worden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Bei diesem Ausgang des Verfahrens wird der Beschwerdeführer grundsätzlich kostenpflichtig ( Art. 66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