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7B_800/2023 vom 18. Dezember 2023</w:t>
      </w:r>
    </w:p>
    <w:p>
      <w:r>
        <w:t>Bundesgericht, 2023-12-18, DE</w:t>
      </w:r>
    </w:p>
    <w:p>
      <w:r>
        <w:rPr>
          <w:b/>
        </w:rPr>
        <w:t xml:space="preserve">Quelle: </w:t>
      </w:r>
      <w:r>
        <w:t>https://mcp.opencaselaw.ch/entscheid/bger_7B_800_2023</w:t>
      </w:r>
    </w:p>
    <w:p>
      <w:r>
        <w:t>FR: TF 7B_800/2023 du 18 décembre 2023</w:t>
      </w:r>
    </w:p>
    <w:p>
      <w:r>
        <w:t>IT: TF 7B_800/2023 del 18 dicembre 2023</w:t>
      </w:r>
    </w:p>
    <w:p>
      <w:pPr>
        <w:pStyle w:val="Heading2"/>
      </w:pPr>
      <w:r>
        <w:t>Erwägungen</w:t>
      </w:r>
    </w:p>
    <w:p>
      <w:r>
        <w:rPr>
          <w:b/>
        </w:rPr>
        <w:t>E. 1</w:t>
      </w:r>
    </w:p>
    <w:p>
      <w:r>
        <w:t>Auf die frist- ( Art. 100 Abs. 1 BGG ) und formgerecht ( Art. 42 Abs. 1 BGG ) eingereichte Beschwerde des Verurteilten (Art. 81 Abs. 1 lit. a und lit. b Ziff. 1 BGG) gegen den kantonal letztinstanzlichen ( Art. 80 Abs. 1 BGG ), verfahrensabschliessenden Entscheid ( Art. 90 BGG ) eines oberen Gerichts ( Art. 86 Abs. 2 BGG ) betreffend eine Strafsache ( Art. 78 Abs. 1 BGG ) ist unter Vorbehalt einer hinreichenden Begründung ( Art. 42 Abs. 2, Art. 106 Abs. 2 BGG ) einzutreten.</w:t>
      </w:r>
    </w:p>
    <w:p>
      <w:r>
        <w:rPr>
          <w:b/>
        </w:rPr>
        <w:t>E. 2.1</w:t>
      </w:r>
    </w:p>
    <w:p>
      <w:r>
        <w:t>Der Beschwerdeführer rügt, die Vorinstanz verletze Bundesrecht. Das Urteil des Bundesgerichts vom 2. März 2022 im Revisionsverfahren 6F_5/2022 entfalte keine Bindungswirkung hinsichtlich der Frage, ob er zusätzlich zur vom Europäischen Gerichtshof für Menschenrechte (EGMR) zugesprochenen Entschädigung Anspruch auf Genugtuung habe. Die Vorinstanz verletze seinen Anspruch auf rechtliches Gehör, indem sie den Anspruch auf Ausrichtung einer Genugtuung materiell nicht prüfe bzw. auf sein Begehren nicht eintrete. Mit dem Entscheid des Bundesgerichts, im Revisionsverfahren könne nicht auf die Frage der Genugtuung zurückgekommen werden, sei noch nicht entschieden worden, wie diese Frage im wiederaufgenommenen Verfahren vor dem Obergericht zu beurteilen sei. Das Verfahren sei in jenem Stand an die Vorinstanz zurückgewiesen worden, in welchem es sich im Jahr 2014 befunden habe. Damals sei die Frage der Genugtuung für zu Unrecht erlittene Haft noch kein Thema gewesen. Hierfür könne das Urteil des Bundesgerichts vom 2. März 2022 im Verfahren 6F_5/2022 keine Bindungswirkung entfalten.</w:t>
      </w:r>
    </w:p>
    <w:p>
      <w:r>
        <w:rPr>
          <w:b/>
        </w:rPr>
        <w:t>E. 2.2</w:t>
      </w:r>
    </w:p>
    <w:p>
      <w:r>
        <w:t>Gemäss Art. 41 EMRK kann der EGMR der verletzten Partei eine gerechte Entschädigung zusprechen, wenn er eine Konventionsverletzung festgestellt hat und das innerstaatliche Recht nur eine unvollkommene Wiedergutmachung gestattet.</w:t>
      </w:r>
    </w:p>
    <w:p>
      <w:r>
        <w:t>Nach der Rechtsprechung des EGMR kann ein Vertragsstaat, wenn er es für richtig hält, zusätzlich zu der bereits nach Art. 41 EMRK durch den EGMR zugesprochenen Entschädigung eine weitere Entschädigung gewähren, entweder in Form von zusätzlichem Geld oder in einer anderen Form, z.B. der Milderung einer verhängten Strafe (Urteil des EGMR Baybasin gegen die Niederlande vom 6. Juli 2006, Nr. 13600/02, § 76). Eine zusätzliche Entschädigung hängt damit vom innerstaatlichen Recht ab (vgl. dazu bereits Urteil 6F_5/2022 vom 2. März 2022 E. 2.3.3 mit Hinweisen).</w:t>
      </w:r>
    </w:p>
    <w:p>
      <w:r>
        <w:rPr>
          <w:b/>
        </w:rPr>
        <w:t>E. 2.3</w:t>
      </w:r>
    </w:p>
    <w:p>
      <w:r>
        <w:t>Die Auffassung des Beschwerdeführers, die Vorinstanz hätte die Genugtuungsforderung für den zu Unrecht erlittenen Freiheitsentzug im betragsmässig gleichen Spektrum (von mehreren Hunderttausend Schweizerfranken) inhaltlich beurteilen müssen, obwohl der EGMR bereits über die betreffende Forderung befunden und eine Entschädigung von Euro 40'000.-- zugesprochen hat, findet im Schweizerischen Recht keine Stütze. Dies ergibt sich aus den Bestimmungen über das im BGG geregelte Revisionsverfahren, welches im Nachgang einer durch den EGMR festgestellten Konventionsverletzung durchzuführen ist.</w:t>
      </w:r>
    </w:p>
    <w:p>
      <w:r>
        <w:rPr>
          <w:b/>
        </w:rPr>
        <w:t>E. 2.4.1</w:t>
      </w:r>
    </w:p>
    <w:p>
      <w:r>
        <w:t>Gemäss Art. 122 BGG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müssen kumulativ erfüllt sein ( BGE 147 I 494 E. 2 mit Hinweisen).</w:t>
      </w:r>
    </w:p>
    <w:p>
      <w:r>
        <w:t>Gemäss Art. 128 Abs. 1 BGG hebt das Bundesgericht den früheren Entscheid auf und entscheidet neu, wenn es findet, dass der Revisionsgrund zutrifft. Entscheidet das Bundesgericht in einer Strafsache neu, ist Artikel 415 StPO sinngemäss anwendbar ( Art. 128 Abs. 3 BGG ).</w:t>
      </w:r>
    </w:p>
    <w:p>
      <w:r>
        <w:t>Nach Art. 415 Abs. 2 StPO werden der beschuldigten Person zu viel bezahlte Bussen oder Geldstrafen zurückerstattet, wenn sie freigesprochen, milder bestraft oder das Verfahren eingestellt wird; Ansprüche der beschuldigten Person auf Entschädigung oder Genugtuung richten sich nach Artikel 436 Absatz 4 StPO. Nach letzterer Bestimmung hat die nach einer Revision freigesprochene oder milder bestrafte beschuldigte Person Anspruch auf angemessene Entschädigung für ihre Aufwendungen im Revisionsverfahren. Sie hat zudem Anspruch auf Genugtuung und Entschädigung für ausgestandenen Freiheitsentzug, sofern dieser Freiheitsentzug nicht an die wegen anderer Straftaten ausgesprochenen Sanktionen angerechnet werden kann.</w:t>
      </w:r>
    </w:p>
    <w:p>
      <w:r>
        <w:rPr>
          <w:b/>
        </w:rPr>
        <w:t>E. 2.4.2</w:t>
      </w:r>
    </w:p>
    <w:p>
      <w:r>
        <w:t>Eine Revision wegen Verletzung der EMRK setzt nach Art. 122 lit. b BGG namentlich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 BGE 147 I 494 E. 2.2 mit Hinweisen).</w:t>
      </w:r>
    </w:p>
    <w:p>
      <w:r>
        <w:t>Die bundesgerichtliche Revision gestützt auf ein Urteil des EGMR dient mit anderen Worten ausschliesslich dazu, nicht-finanzielle Nachteile auszugleichen (vgl. Art. 122 lit. b BGG e contrario). Der angefochtene bundesgerichtliche Entscheid wird im Rahmen einer Revision nur soweit aufgehoben, als der Revisionsgrund gegeben ist und damit die Gutheissung des Gesuchs ein solches Vorgehen erfordert (vgl. ELISABETH ESCHER, in: Basler Kommentar, Bundesgerichtsgesetz, 3. Aufl. 2018, N. 1 zu Art. 128 BGG , welche auf die frühere Praxis unter der Geltung des OG in BGE 120 V 150 E. 3a verweist).</w:t>
      </w:r>
    </w:p>
    <w:p>
      <w:r>
        <w:t>Dies wirkt sich auf das nachfolgende kantonale Verfahren aus, welches gestützt auf das in Revision gezogene bundesgerichtliche Urteil durchgeführt werden muss. Das kantonale Verfahren wird nicht erneut auf nicht der Revision zugängliche finanzielle Aspekte hinaus ausgeweitet, über welche der EGMR bereits entschieden hat. Dies gilt, auch wenn die Wiederaufnahme des kantonalen Verfahrens bezüglich der wiederaufzunehmenden Punkte ex tunc wirkt und das Bundesgericht und die Verfahrensbeteiligten in jenen Zustand versetzt, in welchem sie sich vor der damaligen Urteilsfällung befunden hatten ( BGE 147 I 494 E. 1.2 in fine mit Hinweis). Die Wiederaufnahme im kantonalen Verfahren bewegt sich in den Grenzen des Streitgegenstandes, welcher vor Bundesgericht ein Thema war.</w:t>
      </w:r>
    </w:p>
    <w:p>
      <w:r>
        <w:t>Art. 415 StPO , auf welchen Art. 128 Abs. 3 BGG "sinngemäss" verweist, ist nur soweit anwendbar, als die darin thematisierten Folgen eines neuen Entscheids Verfahrensgegenstand des bundesgerichtlichen Revisionsverfahrens bilden. Betroffen sind ausschliesslich Ansprüche, über welche der EGMR nicht entschieden hat. Dies wurde dem Beschwerdeführer bereits im Verfahren 6F_5/2022 vom 2. März 2022 beschieden. Es fehlt an einer innerstaatlichen Rechtsgrundlage für eine zusätzliche finanzielle Entschädigung für den zu Unrecht erlittenen Freiheitsentzug, nachdem der EGMR eine solche beurteilt und zugesprochen hat. Insoweit ist die Vorinstanz in Nachachtung der Bindungswirkung eines bundesgerichtlichen Rückweisungsentscheids richtigerweise davon ausgegangen, die betreffende Entschädigung sei vor ihr kein Thema mehr. Das vorinstanzliche Nichteintreten auf die Entschädigungsforderung verletzt damit weder Bundesrecht noch den Anspruch auf rechtliches Gehör. Die Beschwerde ist abzuweisen.</w:t>
      </w:r>
    </w:p>
    <w:p>
      <w:r>
        <w:rPr>
          <w:b/>
        </w:rPr>
        <w:t>E. 3</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