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7B_79/2024 vom 13. März 2024</w:t>
      </w:r>
    </w:p>
    <w:p>
      <w:r>
        <w:t>Bundesgericht, 2024-03-13, DE</w:t>
      </w:r>
    </w:p>
    <w:p>
      <w:r>
        <w:rPr>
          <w:b/>
        </w:rPr>
        <w:t xml:space="preserve">Quelle: </w:t>
      </w:r>
      <w:r>
        <w:t>https://mcp.opencaselaw.ch/entscheid/bger_7B_79_2024</w:t>
      </w:r>
    </w:p>
    <w:p>
      <w:r>
        <w:t>FR: TF 7B_79/2024 du 13 mars 2024</w:t>
      </w:r>
    </w:p>
    <w:p>
      <w:r>
        <w:t>IT: TF 7B_79/2024 del 13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7B_79/2024</w:t>
      </w:r>
    </w:p>
    <w:p>
      <w:r>
        <w:t>Urteil vom 13. März 2024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Basel-Stadt, Binningerstrasse 21, 4051 Basel,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den Entscheid des Appellationsgerichts des Kantons Basel-Stadt, Einzelgericht, vom 11. Januar 2024 (BES.2023.151).</w:t>
      </w:r>
    </w:p>
    <w:p>
      <w:r>
        <w:t>Nach Einsicht</w:t>
      </w:r>
    </w:p>
    <w:p>
      <w:r>
        <w:t>in den Entscheid des Appellationsgerichts des Kantons Basel-Stadt vom 11. Januar 2024 in der rubrizierten Angelegenheit;</w:t>
      </w:r>
    </w:p>
    <w:p>
      <w:r>
        <w:t>in die vom Beschwerdeführer gegen diesen Entscheid erhobene Beschwerde vom 22. Januar 2024;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ausnahmsweise auf die Erhebung von Gerichtskosten zu verzichten ist (Art. 66 Abs. 1 zweiter Satz BGG);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Appellationsgericht des Kantons Basel-Stadt, Einzelgericht, schriftlich mitgeteilt.</w:t>
      </w:r>
    </w:p>
    <w:p>
      <w:r>
        <w:t>Lausanne, 13. März 2024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