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7B_79/2022 vom 10. Januar 2024</w:t>
      </w:r>
    </w:p>
    <w:p>
      <w:r>
        <w:t>Bundesgericht, 2024-01-10, DE</w:t>
      </w:r>
    </w:p>
    <w:p>
      <w:r>
        <w:rPr>
          <w:b/>
        </w:rPr>
        <w:t xml:space="preserve">Quelle: </w:t>
      </w:r>
      <w:r>
        <w:t>https://mcp.opencaselaw.ch/entscheid/bger_7B_79_2022</w:t>
      </w:r>
    </w:p>
    <w:p>
      <w:r>
        <w:t>FR: TF 7B_79/2022 du 10 janvier 2024</w:t>
      </w:r>
    </w:p>
    <w:p>
      <w:r>
        <w:t>IT: TF 7B_79/2022 del 10 gennaio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auf sie nur eingetreten werden, wenn aufgrund der Natur der untersuchten Straftat ohne Weiteres ersichtlich ist, um welche Zivilforderungen es geht ( BGE 141 IV 1 E. 1.1; Urteile 7B_28/2023 vom 24. Oktober 2023 E. 1.1; 6B_790/2022 vom 15. Juni 2023 E. 1.1; 6B_582/2020 vom 17. Dezember 2020 E. 1, nicht publ. in: BGE 147 IV 47 ; je mit Hinweisen).</w:t>
      </w:r>
    </w:p>
    <w:p>
      <w:r>
        <w:t>Wird die Beschwerde von mehreren Privatklägern oder Privatklägerinnen gemeinsam erhoben, hat jeder und jede von ihnen individuell den persönlich entstandenen Schaden darzulegen (Urteile 6B_621/2021 vom 20. August 2021 E. 3.2; 6B_103/2021 vom 26. April 2021 E. 1.1; je mit Hinweisen). Bezieht sich die Privatklägerschaft ausserdem auf verschiedene Straftaten, muss sie in Bezug auf jede dieser Straftaten genau angeben, worin ihr Schaden besteht (Urteile 6B_764/2022 vom 17. April 2023 E. 2.1; 6B_416/2021 vom 28. September 2021 E. 2.1; 6B_752/2020 vom 8. Juni 2021 E. 1.1). Es genügt im Übrigen nicht, dass die Privatklägerschaft lediglich behauptet, von der fraglichen Straftat betroffen zu sein; sie muss vielmehr die Anspruchsvoraussetzungen und namentlich den erlittenen Schaden genau substanziieren (Urteile 7B_69/2023 vom 28. August 2023 E. 1.1.1; 1B_476/2017 vom 4. April 2018 E. 1.2.1 mit Hinweisen; vgl. auch CHRISTIAN DENYS, in: Commentaire de la LTF, 3. Aufl. 2022, N. 57 zu Art. 81 BGG ).</w:t>
      </w:r>
    </w:p>
    <w:p>
      <w:r>
        <w:rPr>
          <w:b/>
        </w:rPr>
        <w:t>E. 1.2</w:t>
      </w:r>
    </w:p>
    <w:p>
      <w:r>
        <w:t>Hinsichtlich ihrer Beschwerdelegitimation führen die Beschwerdeführenden aus, sie hätten sich als Zivilkläger konstituiert. Ihre zivilrechtlichen Ansprüche gegen die Beschuldigten richteten sich "unter anderem nach Art. 41 Abs. 1 OR ". Vorliegend stehe namentlich ein reiner Vermögensschaden zur Debatte, da sie durch das betrügerische Vorgehen der Beschuldigten dazu verleitet worden seien, "eine erhebliche Summe" in das Betrugsvehikel " F.________ AG" zu investieren bzw. "als Kaufpreis" für wertlose Aktien zu zahlen. Reine Vermögensschäden seien haftpflichtrechtlich nur zu ersetzen, wenn eine Schutznorm verletzt worden sei. Der vorliegend relevante Betrugstatbestand stelle eine solche Schutznorm dar. Der angefochtene Entscheid wirke sich direkt auf die Beurteilung ihrer Zivilansprüche aus, da er die Einstellung des Strafverfahrens schütze und damit die Berufung auf Art. 146 StGB als haftpflichtrechtliche Schutznorm ausschliesse.</w:t>
      </w:r>
    </w:p>
    <w:p>
      <w:r>
        <w:rPr>
          <w:b/>
        </w:rPr>
        <w:t>E. 1.3</w:t>
      </w:r>
    </w:p>
    <w:p>
      <w:r>
        <w:t>Diese Ausführungen genügen den strengen Begründungsanforderungen an die Substanziierung eines zivilrechtlichen (Schadenersatz-) Anspruchs nicht. Die Beschwerdeführenden konkretisieren namentlich das Ausmass des von ihnen angeblich erlittenen jeweiligen Schadens in keiner Weise und tun auch nicht dar, inwiefern das nicht möglich sein soll. Stattdessen deuten sie nur vage an, sie hätten eine "erhebliche Summe" investiert bzw. einen nicht weiter bezifferten "Kaufpreis" für angeblich wertlose Aktien bezahlt. Zur Frage, warum die Aktien der - wie aus dem angefochtenen Beschluss geschlossen werden kann - nach wie vor aktiven F.________ AG wertlos sein sollen und worin genau ihr Schaden besteht, verlieren die Beschwerdeführenden kein Wort. Was die weiteren Tatbestandsvoraussetzungen von Art. 41 OR anbelangt, erwähnen sie nur gerade die Widerrechtlichkeit. Diese Ausführungen genügen den strengen Begründungsanforderungen an die Beschwerdelegitimation nicht.</w:t>
      </w:r>
    </w:p>
    <w:p>
      <w:r>
        <w:rPr>
          <w:b/>
        </w:rPr>
        <w:t>E. 1.4</w:t>
      </w:r>
    </w:p>
    <w:p>
      <w:r>
        <w:t>Soweit die Beschwerdeführenden eine Gehörsrüge im Zusammenhang mit der vorinstanzlichen Sachverhaltsfeststellung vorbringen (angeblich ungenügende Auseinandersetzung mit einem Belastungszeugen), ist diese unzulässig: Es geht dabei nicht um die Berechtigung im Sinne der sog. "Star-Praxis", am Verfahren teilzunehmen ( BGE 146 IV 76 E. 2; 141 IV 1 E. 1.1; 138 IV 78 E. 1.3 mit Hinweisen), sondern im Ergebnis ebenfalls um eine materielle Überprüfung des angefochtenen Entscheids.</w:t>
      </w:r>
    </w:p>
    <w:p>
      <w:r>
        <w:rPr>
          <w:b/>
        </w:rPr>
        <w:t>E. 2</w:t>
      </w:r>
    </w:p>
    <w:p>
      <w:r>
        <w:t>Mangels hinreichender Begründung der Beschwerdelegitimation wird auf die Beschwerde nicht eingetreten.</w:t>
      </w:r>
    </w:p>
    <w:p>
      <w:r>
        <w:t>Die Gerichtskosten sind ausgangsgemäss den Beschwerdeführenden aufzuerlegen ( Art. 66 Abs. 1 BGG ). Parteientschädigungen ( Art. 68 BGG )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