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7B_794/2025 vom 12. November 2025</w:t>
      </w:r>
    </w:p>
    <w:p>
      <w:r>
        <w:t>Bundesgericht, 2025-11-12, IT</w:t>
      </w:r>
    </w:p>
    <w:p>
      <w:r>
        <w:rPr>
          <w:b/>
        </w:rPr>
        <w:t xml:space="preserve">Quelle: </w:t>
      </w:r>
      <w:r>
        <w:t>https://mcp.opencaselaw.ch/entscheid/bger_7B_794_2025</w:t>
      </w:r>
    </w:p>
    <w:p>
      <w:r>
        <w:t>FR: TF 7B_794/2025 du 12 novembre 2025</w:t>
      </w:r>
    </w:p>
    <w:p>
      <w:r>
        <w:t>IT: TF 7B_794/2025 del 12 novembre 2025</w:t>
      </w:r>
    </w:p>
    <w:p>
      <w:pPr>
        <w:pStyle w:val="Heading2"/>
      </w:pPr>
      <w:r>
        <w:t>Erwägungen</w:t>
      </w:r>
    </w:p>
    <w:p>
      <w:r>
        <w:rPr>
          <w:b/>
        </w:rPr>
        <w:t>E. 1</w:t>
      </w:r>
    </w:p>
    <w:p>
      <w:r>
        <w:t>Giusta l' art. 39 cpv. 2 LTF , le parti possono indicare un recapito elettronico e consentire che le notificazioni siano fatte loro per via elettronica (vedi anche l' art. 60 cpv. 3 LTF ).</w:t>
      </w:r>
    </w:p>
    <w:p>
      <w:r>
        <w:t>In concreto non sono adempiute le esigenze poste in materia dalla giurisprudenza del Tribunale federale, ritenuto che i ricorrenti nel loro ricorso si sono limitati a indicare un semplice indirizzo e-mail, ciò che non è sufficiente (sentenze 2F_13/2022 del 17 marzo 2022 consid. 2.2; 2D_18/2009 del 22 giugno 2009 consid. 2.2). La richiesta di notifica per via elettronica va pertanto respinta.</w:t>
      </w:r>
    </w:p>
    <w:p>
      <w:r>
        <w:rPr>
          <w:b/>
        </w:rPr>
        <w:t>E. 2</w:t>
      </w:r>
    </w:p>
    <w:p>
      <w:r>
        <w:t>Il Tribunale federale vaglia d'ufficio e con piena cognizione se e in che misura un ricorso può essere esaminato nel merito ( DTF 151 IV 98 consid. 1; 150 IV 103 consid. 1).</w:t>
      </w:r>
    </w:p>
    <w:p>
      <w:r>
        <w:rPr>
          <w:b/>
        </w:rPr>
        <w:t>E. 2.1</w:t>
      </w:r>
    </w:p>
    <w:p>
      <w:r>
        <w:t>L' art. 81 cpv. 1 LTF riconosce il diritto a interporre un ricorso in materia penale a chi ha partecipato al procedimento dinanzi all'autorità inferiore o è stato privato della possibilità di farlo (lett. a) e ha un interesse giuridicamente protetto all'annullamento o alla modifica della decisione impugnata (lett. b).</w:t>
      </w:r>
    </w:p>
    <w:p>
      <w:r>
        <w:rPr>
          <w:b/>
        </w:rPr>
        <w:t>E. 2.2</w:t>
      </w:r>
    </w:p>
    <w:p>
      <w:r>
        <w:t>In virtù dell'art. 81 cpv. 1 lett. b n. 5 LTF, è in particolare legittimato l'accusatore privato, ossia il danneggiato che dichiara espressamente di partecipare al procedimento penale con un'azione penale o civile ( art. 118 cpv. 1 CPP ).</w:t>
      </w:r>
    </w:p>
    <w:p>
      <w:r>
        <w:t>L'accusatore privato è legittimato a interporre un ricorso in materia penale tuttavia solo se la decisione impugnata può influire sul giudizio delle sue pretese civili (art. 81 cpv. 1 lett. b n. 5 LTF).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w:t>
      </w:r>
    </w:p>
    <w:p>
      <w:r>
        <w:rPr>
          <w:b/>
        </w:rPr>
        <w:t>E. 2.3</w:t>
      </w:r>
    </w:p>
    <w:p>
      <w:r>
        <w:t>Qualora il ricorso è rivolto contro un decreto di non luogo a procedere o - come in concreto - di abbandono, l'accusatore privato deve indicare nella procedura dinanzi al Tribunale federale i motivi per i quali e in che misura la decisione impugnata può influire sul giudizio di una sua concreta pretesa civile (sentenze 7B_123/2024 del 25 settembre 2025 consid. 1.3.3; 7B_686/2025 del 19 agosto 2025 consid. 2.1.3; 7B_953/2024 del 15 ottobre 2024 consid. 1.2.1).</w:t>
      </w:r>
    </w:p>
    <w:p>
      <w:r>
        <w:t>Il Tribunale federale pone esigenze severe alla motivazione della legittimazione. Esso vaglia d'ufficio e con piena cognizione l'adempimento delle condizioni di ammissibilità di un ricorso (cfr. consid. 2</w:t>
      </w:r>
    </w:p>
    <w:p>
      <w:r>
        <w:t>supra ), senza tuttavia procedere a un esame approfondito nel merito. Nel ricorso deve pertanto essere indicato in maniera concisa in che misura le condizioni di ammissibilità dello stesso siano adempiute ( DTF 141 IV 1 consid. 1.1; sentenze 7B_921/2025 del 29 ottobre 2025 consid. 1.1; 7B_953/2024 del 15 ottobre 2024 consid. 1.2.1). A tal fine, non è sufficiente che l'accusatore privato si limiti ad affermare di essere stato colpito dal reato in questione; egli deve invece sostanziare in maniera precisa l'adempimento delle condizioni per avanzare la sua pretesa, segnatamente indicando e nella misura del possibile quantificando il danno subito (sentenze 7B_971/2024 del 25 settembre 2025 consid. 1.3.1; 7B_406/2025 del 5 settembre 2025 consid. 1.3; 7B_686/2025 del 19 agosto 2025 consid. 2.1.3).</w:t>
      </w:r>
    </w:p>
    <w:p>
      <w:r>
        <w:t>Quando, come in concreto (cfr. fatti lett. A.a, A.c</w:t>
      </w:r>
    </w:p>
    <w:p>
      <w:r>
        <w:t>supra ), sono invocati dei reati distinti, l'accusatore privato è tenuto a spiegare con riferimento ai singoli reati in che consisterebbe il danno da lui subito (sentenze 7B_92/2023 del 16 settembre 2025 consid. 1.2.3; 7B_1230/2024 del 19 maggio 2025 consid. 1.1.2; 7B_364/2024 del 25 aprile 2024 consid. 1.2). Se il ricorso è presentato congiuntamente da più accusatori privati, ognuno di essi deve inoltre sostanziare singolarmente il danno personale subito (sentenze 6B_901/2020 del 6 dicembre 2021 consid. 3.2; 6B_621/2021 del 20 agosto 2021 consid. 3.2 e rinvii).</w:t>
      </w:r>
    </w:p>
    <w:p>
      <w:r>
        <w:rPr>
          <w:b/>
        </w:rPr>
        <w:t>E. 2.4</w:t>
      </w:r>
    </w:p>
    <w:p>
      <w:r>
        <w:t>Nel caso in cui il ricorso non dovesse adempiere le esposte esigenze di motivazione, un esame nel merito è possibile unicamente qualora l'influenza della decisione impugnata sulla decisione relativa alle pretese civili sia deducibile direttamente e senza ambiguità dagli atti tenendo conto della natura del reato perseguito ( DTF 141 IV 1 consid. 1.1; 138 IV 186 consid. 1.4.1). Questo può essere il caso quando il reato ha direttamente causato un danno all'integrità fisica, psichica o sessuale di una gravità tale da giustificare chiaramente il diritto al risarcimento del danno o alla riparazione del torto morale (sentenze 7B_971/2024 del 25 settembre 2025 consid. 1.3.1; 7B_119/2025 dell'11 aprile 2025 consid. 3.1; 7B_953/2024 del 15 ottobre 2024 consid. 1.2.1).</w:t>
      </w:r>
    </w:p>
    <w:p>
      <w:r>
        <w:rPr>
          <w:b/>
        </w:rPr>
        <w:t>E. 2.5</w:t>
      </w:r>
    </w:p>
    <w:p>
      <w:r>
        <w:t>I ricorrenti adducono di avere, in qualità di proprietari sia della cassaforte sia del suo contenuto, "senza dubbio" un interesse nella continuazione della procedura penale "in merito alle loro pretese civili". Sostengono che se la sottrazione della cassaforte e del suo contenuto fosse confermata dall'azione penale, essi potrebbero far valere le loro pretese civili "in punto al valore degli oggetti sottratti". Adducono che l'influenza della decisione impugnata sul giudizio delle loro pretese civili risulterebbe deducibile direttamente e senza ambiguità dagli atti, motivo per cui la loro legittimazione ricorsuale giusta l'art. 81 cpv. 1 lett. b n. 5 LTF andrebbe ammessa.</w:t>
      </w:r>
    </w:p>
    <w:p>
      <w:r>
        <w:t>Con tale argomentazione generica, i ricorrenti non spiegano né sostanziano con una motivazione conforme alle esposte esigenze l'eventuale danno che avrebbero subito a causa dei reati oggetto della denuncia, quali pretese civili intendono far valere contro il denunciato in relazione con i singoli reati prospettati (segnatamente una pretesa di rivendicazione giusta l' art. 641 cpv. 2 CC ; cfr. sentenze 6B_367/2020 del 17 gennaio 2022 consid. 2.2.3; 6B_1249/2020 dell'11 ottobre 2021 consid. 1.2.2 e rinvii) e in quale misura la decisione impugnata potrebbe avere un'incidenza sul loro giudizio. I ricorrenti, che hanno presentato congiuntamente il gravame, omettono inoltre di sostanziare singolarmente il danno personale subito. Contrariamente a quanto addotto, l'influenza della decisione impugnata sul giudizio delle loro pretese civili visto il numero di reati oggetto di denuncia (e dei suoi complementi) non risulta deducibile direttamente e senza ambiguità dagli atti.</w:t>
      </w:r>
    </w:p>
    <w:p>
      <w:r>
        <w:rPr>
          <w:b/>
        </w:rPr>
        <w:t>E. 2.6</w:t>
      </w:r>
    </w:p>
    <w:p>
      <w:r>
        <w:t>L'assenza di una motivazione sulle pretese civili comporta il diniego della legittimazione ricorsuale nel merito giusta l'art. 81 cpv. 1 lett. b n. 5 LTF. Risultano così d'acchito inammissibili le censure di arbitrio nell'accertamento dei fatti e nell'interpretazione dell'accordo stipulato, come pure quella relativa alla violazione del principio "in dubio pro duriore". Lo stesso dicasi per le ulteriori critiche, segnatamente quelle concernenti le dichiarazioni di ritiro delle querele e di disinteresse ai procedimenti penali pendenti, trattandosi di questioni strettamente connesse con il giudizio di merito che i ricorrenti non sono legittimati a contestare in questa sede.</w:t>
      </w:r>
    </w:p>
    <w:p>
      <w:r>
        <w:rPr>
          <w:b/>
        </w:rPr>
        <w:t>E. 3.1</w:t>
      </w:r>
    </w:p>
    <w:p>
      <w:r>
        <w:t>Indipendentemente dalla legittimazione ricorsuale nel merito, i ricorrenti sono abilitati a censurare la violazione di garanzie procedurali che il diritto conferisce loro quale parti nella procedura e la cui disattenzione equivale ad un diniego di giustizia formale. Questa facoltà di invocare i diritti di parte non permette loro tuttavia di rimettere in discussione, nemmeno indirettamente, il giudizio di merito ( DTF 146 IV 76 consid. 2; 141 IV 1 consid. 1.1).</w:t>
      </w:r>
    </w:p>
    <w:p>
      <w:r>
        <w:rPr>
          <w:b/>
        </w:rPr>
        <w:t>E. 3.2</w:t>
      </w:r>
    </w:p>
    <w:p>
      <w:r>
        <w:t>I ricorrenti censurano una violazione dell'art. 38 della legge del Cantone dei Grigioni del 14 giugno 2022 sull'organizzazione giudiziaria (LOG; CSC 173.000). Adducono che "le questioni in gioco" - segnatamente l'interpretazione dell'accordo, l'eccezione d'inadempimento, l'accertamento dei fatti e la loro gravità così come gli importi in gioco - sarebbero complesse e controverse e avrebbero imposto quantomeno un esame collegiale.</w:t>
      </w:r>
    </w:p>
    <w:p>
      <w:r>
        <w:t>Tale censura concerne in buona sostanza le circostanze prese in considerazione dall'autorità precedente rispettivamente il merito della controversia e risulta pertanto inammissibile. Per abbondanza, si rileva che la censura non potrebbe essere trattata nel merito perché i ricorrenti non dimostrano con una motivazione conforme alle severe esigenze dell' art. 106 cpv. 2 LTF perché la citata norma di diritto cantonale in concreto sarebbe stata applicata in materia arbitraria dalla Corte cantonale.</w:t>
      </w:r>
    </w:p>
    <w:p>
      <w:r>
        <w:rPr>
          <w:b/>
        </w:rPr>
        <w:t>E. 3.3</w:t>
      </w:r>
    </w:p>
    <w:p>
      <w:r>
        <w:t>I ricorrenti lamentano infine una violazione dell'obbligo della Corte cantonale di motivare la decisione impugnata. A loro avviso, l'autorità precedente avrebbe dovuto indicare "almeno brevemente" le ragioni per cui il reclamo sarebbe manifestamente infondato.</w:t>
      </w:r>
    </w:p>
    <w:p>
      <w:r>
        <w:t>La critica è infondata. Nel decreto impugnato, che deve essere letto nel suo insieme ("als Ganzes"; cfr. sentenze 6B_1184/2023 del 18 agosto 2025 consid. 2.3.2; 7B_468/2023 del 20 agosto 2024 consid. 2.5), l'autorità precedente ha infatti sufficientemente esposto i motivi per i quali ha confermato il decreto di abbandono, giungendo alla conclusione che il reclamo presentato dai reclamanti (qui ricorrenti) fosse da ritenere (manifestamente) infondato e quindi potesse essere deciso a giudice unico. I motivi alla base di tale valutazione sono chiaramente indicati nella decisione impugnata, in modo tale da permettere ai ricorrenti di contestarla in questa sede con cognizione di causa ( DTF 151 IV 18 consid. 4.4.4; 150 III 1 consid. 4.5).</w:t>
      </w:r>
    </w:p>
    <w:p>
      <w:r>
        <w:rPr>
          <w:b/>
        </w:rPr>
        <w:t>E. 4</w:t>
      </w:r>
    </w:p>
    <w:p>
      <w:r>
        <w:t>Ne segue che il ricorso, in quanto ammissibile, deve essere respinto. Le spese giudiziarie seguono la soccombenza (art. 66 cpv. 1 prima frase LTF) e vanno pertanto poste a carico dei ricorrenti, in solido ( art. 66 cpv. 5 LTF ). Non si assegnano ripetibili della sede federale all'opponente 2,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