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7B_78/2023 vom 15. Januar 2024</w:t>
      </w:r>
    </w:p>
    <w:p>
      <w:r>
        <w:t>Bundesgericht, 2024-01-15, DE</w:t>
      </w:r>
    </w:p>
    <w:p>
      <w:r>
        <w:rPr>
          <w:b/>
        </w:rPr>
        <w:t xml:space="preserve">Quelle: </w:t>
      </w:r>
      <w:r>
        <w:t>https://mcp.opencaselaw.ch/entscheid/bger_7B_78_2023</w:t>
      </w:r>
    </w:p>
    <w:p>
      <w:r>
        <w:t>FR: TF 7B_78/2023 du 15 janvier 2024</w:t>
      </w:r>
    </w:p>
    <w:p>
      <w:r>
        <w:t>IT: TF 7B_78/2023 del 15 gennaio 2024</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Urteile 7B_28/2023 vom 24. Oktober 2023 E. 1.1; 7B_620/2023 vom 10. Oktober 2023 E. 2; je mit Hinweisen).</w:t>
      </w:r>
    </w:p>
    <w:p>
      <w:r>
        <w:rPr>
          <w:b/>
        </w:rPr>
        <w:t>E. 1.2</w:t>
      </w:r>
    </w:p>
    <w:p>
      <w:r>
        <w:t>Genugtuungsforderungen aus Persönlichkeitsverletzung bestehen nur, sofern die Schwere der Verletzung es rechtfertigt (vgl. Art. 49 Abs. 1 OR ). Der Eingriff muss aussergewöhnlich schwer sein und in seinen Auswirkungen das Mass einer Aufregung oder einer alltäglichen Sorge klar übersteigen (Urteile 7B_120/2022 vom 5. Oktober 2023 E. 1.3.1; 6B_736/2020 vom 28. Mai 2021 E. 1.2; 6B_195/2021 vom 21. April 2021 E. 3; je mit Hinweisen). Leichte Persönlichkeitsverletzungen wie beispielsweise unbedeutende Ehrverletzungen rechtfertigen keine finanzielle Genugtuung (vgl. BGE 129 III 715 E. 4.4 mit Hinweisen). Inwiefern die Persönlichkeitsverletzung objektiv und subjektiv schwer wiegt, ist in der Beschwerde an das Bundesgericht darzulegen (Urteile 7B_120/2022 vom 5. Oktober 2023 E. 1.3.1; 6B_807/2022 vom 2. August 2022 E. 2; 6B_736/2020 vom 28. Mai 2021 E. 1.2; je mit Hinweisen).</w:t>
      </w:r>
    </w:p>
    <w:p>
      <w:r>
        <w:rPr>
          <w:b/>
        </w:rPr>
        <w:t>E. 1.3</w:t>
      </w:r>
    </w:p>
    <w:p>
      <w:r>
        <w:t>Hinsichtlich seiner Legitimation führt der Beschwerdeführer in seiner Beschwerde nur gerade aus, er habe in seiner "Zivil- und Strafanzeige Schadenersatz- sowie Genugtuungsansprüche geltend gemacht". Diese Ausführungen sind augenfällig zu knapp. Die Voraussetzungen der entsprechenden Zivilansprüche deutet der Beschwerdeführer nicht einmal vage an. Auf die Beschwerde ist damit mangels hinreichender Darlegung der Legitimation grundsätzlich nicht einzutreten.</w:t>
      </w:r>
    </w:p>
    <w:p>
      <w:r>
        <w:rPr>
          <w:b/>
        </w:rPr>
        <w:t>E. 1.4</w:t>
      </w:r>
    </w:p>
    <w:p>
      <w:r>
        <w:t>Immerhin stellt sich noch die Frage, ob vorliegend die sog. "Star-Praxis" zur Anwendung gelangt.</w:t>
      </w:r>
    </w:p>
    <w:p>
      <w:r>
        <w:rPr>
          <w:b/>
        </w:rPr>
        <w:t>E. 1.4.1</w:t>
      </w:r>
    </w:p>
    <w:p>
      <w:r>
        <w:t>Ungeachtet der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146 IV 76 E. 2; 141 IV 1 E. 1.1; 138 IV 78 E. 1.3; je mit Hinweisen).</w:t>
      </w:r>
    </w:p>
    <w:p>
      <w:r>
        <w:rPr>
          <w:b/>
        </w:rPr>
        <w:t>E. 1.4.2</w:t>
      </w:r>
    </w:p>
    <w:p>
      <w:r>
        <w:t>Der Beschwerdeführer ruft die "Star-Praxis" nicht explizit an und führt auch nicht aus, weshalb diese zur Anwendung gelangen sollte. Allerdings macht er im Zusammenhang mit der vorinstanzlich angenommenen impliziten Verfahrenseinstellung betreffend die Tatbestände der Verletzung des Privatbereichs durch Aufnahmegeräte ( Art. 179quater Abs. 1 StGB ) sowie der Widerhandlung gegen das (alte) Datenschutzgesetz (Art. 34 Abs. 1 lit. b i.V.m. Art. 14 Abs. 1 und 2 aDSG) eine Verletzung seiner "Parteirechte" geltend. Dabei zeigt er freilich nicht auf, inwiefern diese einer formellen Rechtsverweigerung gleichkäme. Eine solche ist denn auch nicht ersichtlich: Die Vorinstanz hat in Erwägung 3 des angefochtenen Entscheids nämlich materiell geprüft, ob die Einstellungsvoraussetzungen der genannten Tatbestände erfüllt sind.</w:t>
      </w:r>
    </w:p>
    <w:p>
      <w:r>
        <w:rPr>
          <w:b/>
        </w:rPr>
        <w:t>E. 2</w:t>
      </w:r>
    </w:p>
    <w:p>
      <w:r>
        <w:t>Die Beschwerde erweist sich als unzulässig.</w:t>
      </w:r>
    </w:p>
    <w:p>
      <w:r>
        <w:t>Die Gerichtskosten sind dem Beschwerdeführer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