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789/2023 vom 22. Juli 2024</w:t>
      </w:r>
    </w:p>
    <w:p>
      <w:r>
        <w:t>Bundesgericht, 2024-07-22, DE</w:t>
      </w:r>
    </w:p>
    <w:p>
      <w:r>
        <w:rPr>
          <w:b/>
        </w:rPr>
        <w:t xml:space="preserve">Quelle: </w:t>
      </w:r>
      <w:r>
        <w:t>https://mcp.opencaselaw.ch/entscheid/bger_7B_789_2023</w:t>
      </w:r>
    </w:p>
    <w:p>
      <w:r>
        <w:t>FR: TF 7B 789/2023 du 22 juillet 2024</w:t>
      </w:r>
    </w:p>
    <w:p>
      <w:r>
        <w:t>IT: TF 7B 789/2023 del 22 luglio 2024</w:t>
      </w:r>
    </w:p>
    <w:p>
      <w:pPr>
        <w:pStyle w:val="Heading2"/>
      </w:pPr>
      <w:r>
        <w:t>Regeste</w:t>
      </w:r>
    </w:p>
    <w:p>
      <w:r>
        <w:t>Ausstand | Zuständigkeitsfragen, Garantie des Wohnsitzrichters und des v...</w:t>
      </w:r>
    </w:p>
    <w:p>
      <w:pPr>
        <w:pStyle w:val="Heading2"/>
      </w:pPr>
      <w:r>
        <w:t>Erwägungen</w:t>
      </w:r>
    </w:p>
    <w:p>
      <w:r>
        <w:rPr>
          <w:b/>
        </w:rPr>
        <w:t>E. 1</w:t>
      </w:r>
    </w:p>
    <w:p>
      <w:r>
        <w:t>Der Beschwerdeführer hat im Strafverfahren gegen Lukas Burlet (7B_789/2023) und im Strafverfahren gegen Urs Tschümperlin (7B_790/2023) dieselben Ausstandsgründe gegen die Beschwerdegegnerin geltend gemacht. Die Vorinstanz schreibt beide Gesuche mit im Wesentlichen identischer Begründung als gegenstandslos ab. Der Beschwerdeführer hat sodann nur eine Beschwerdeschrift eingereicht, um damit beide Beschlüsse vom 14. September 2023 anzufechten. Aufgrund dieses engen Sachzusammenhangs sind die bundesgerichtlichen Verfahren 7B_789/2023 und 7B_790/2023 zu vereinigen (vgl. Art. 71 BGG in Verbindung mit Art. 24 Abs. 2 lit. b BZP [SR 273]; BGE 133 IV 215 E. 1).</w:t>
      </w:r>
    </w:p>
    <w:p>
      <w:r>
        <w:rPr>
          <w:b/>
        </w:rPr>
        <w:t>E. 2</w:t>
      </w:r>
    </w:p>
    <w:p>
      <w:r>
        <w:t>Das Bundesgericht prüft von Amtes wegen und mit freier Kognition, ob auf eine Beschwerde eingetreten werden kann (Art. 29 Abs. 1 und Art. 106 Abs. 1 in Verbindung mit Art. 42 Abs. 1 und 2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3.1</w:t>
      </w:r>
    </w:p>
    <w:p>
      <w:r>
        <w:t>Angefochten sind zwei selbstständig eröffnete kantonal letztinstanzliche Entscheide in einer strafrechtlichen Angelegenheit, in der die Beschwerde in Strafsachen nach Art. 78 ff. BGG grundsätzlich offensteht. Es handelt sich um Zwischenentscheide, die das Strafverfahren gegen Lukas Burlet und Urs Tschümperlin nicht abschliessen.</w:t>
      </w:r>
    </w:p>
    <w:p>
      <w:r>
        <w:rPr>
          <w:b/>
        </w:rPr>
        <w:t>E. 3.2</w:t>
      </w:r>
    </w:p>
    <w:p>
      <w:r>
        <w:t>Vor- und Zwischenentscheide sind nur unter den Voraussetzungen von Art. 92 und 93 BGG anfechtbar.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 Urteil 7B_470/2024 vom 15. Mai 2024 E. 1.3). Gemäss Art. 92 BGG ist die Beschwerde gegen selbstständig eröffnete Zwischenentscheide über die Zuständigkeit und über Ausstandsbegehren zulässig (Abs. 1). Diese Entscheide können später nicht mehr angefochten werden (Abs. 2). Gegen andere selbstständig eröffnete Vor- und Zwischenentscheide ist die Beschwerde insbesondere zulässig, wenn sie einen nicht wieder gutzumachenden Nachteil bewirken können ( Art. 93 Abs. 1 lit. a BGG ).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Wird mit einem Zwischenentscheid nicht über ein Ausstandsbegehren entschieden, sondern nur über die Frage, ob infolge eines Ausstands Amtshandlungen, an denen die vom Ausstandsgesuch betroffene Person mitgewirkt hat, in Anwendung von Art. 60 Abs. 1 StPO aufgehoben und wiederholt werden müssen, ist nach der Rechtsprechung des Bundesgerichts für das Eintreten nicht Art. 92 BGG , sondern Art. 93 Abs. 1 lit. a BGG massgebend ( BGE 144 IV 90 E. 1.1.1; Urteil 1B_29/2016, 1B_33/2016, 1B_35/2016, 1B_37/2016 vom 23. Mai 2016 E. 2.2; je mit Hinweisen).</w:t>
      </w:r>
    </w:p>
    <w:p>
      <w:r>
        <w:rPr>
          <w:b/>
        </w:rPr>
        <w:t>E. 3.3</w:t>
      </w:r>
    </w:p>
    <w:p>
      <w:r>
        <w:t>Der Beschwerdeführer setzt sich in seiner Beschwerdeschrift nicht mit der Frage der Zulässigkeit seiner Beschwerden gegen die beiden angefochtenen Zwischenentscheide auseinander und kommt somit seiner Begründungsobliegenheit nicht nach. Dass die Voraussetzungen von Art. 92 f. BGG erfüllt wären, ist aber auch nicht ersichtlich: Die Vorinstanz entscheidet formell nicht über den Ausstand von Staatsanwältin Kolvodouris Janett, sondern nur darüber, ob Amtshandlungen, an denen sie als Staatsanwältin mitgewirkt hat, nach Art. 60 Abs. 1 StPO aufgehoben und wiederholt werden müssen. Der Beschwerdeführer beantragt im Beschwerdeverfahren vor Bundesgericht zwar weiterhin den Ausstand von Staatsanwältin Kolvodouris Janett, nimmt jedoch auf den Entscheid der Vorinstanz, das Ausstandsgesuch als gegenstandslos abzuschreiben, keinen Bezug. Bei dieser Sachlage gelangt Art. 92 Abs. 1 BGG nach der zitierten Rechtsprechung nicht zur Anwendung. Damit bleibt die Frage, ob dem Beschwerdeführer durch die angefochtenen Entscheide ein nicht wieder gutzumachender Nachteil im Sinne von Art. 93 Abs. 1 lit. a droht. Dies ist zu verneinen, denn dass die von Staatsanwältin Kolvodouris Janett erhobenen Beweismittel, deren Verwertbarkeit vom Beschwerdeführer bestritten wird, in den Akten verbleiben, begründet nach der Rechtsprechung des Bundesgerichts, jedenfalls für sich allein, noch keinen Nachteil rechtlicher Natur (vgl. BGE 141 IV 284 E. 2.2; 289 E. 1.2; je mit Hinweisen). Die beiden Beschwerden an das Bundesgericht sind somit nicht zulässig.</w:t>
      </w:r>
    </w:p>
    <w:p>
      <w:r>
        <w:rPr>
          <w:b/>
        </w:rPr>
        <w:t>E. 4</w:t>
      </w:r>
    </w:p>
    <w:p>
      <w:r>
        <w:t>Auf die Beschwerden ist nicht einzutreten. Bei diesem Ausgang des Verfahrens wird der Beschwerdeführer kostenpflichtig ( Art. 66 Abs. 1 BGG ). Sein Gesuch um unentgeltliche Rechtspflege ist abzuweisen, da sich die Beschwerde als offensichtlich aussichtslos erweist ( Art. 64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