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7B_788/2025 vom 1. Oktober 2025</w:t>
      </w:r>
    </w:p>
    <w:p>
      <w:r>
        <w:t>Bundesgericht, 2025-10-01, DE</w:t>
      </w:r>
    </w:p>
    <w:p>
      <w:r>
        <w:rPr>
          <w:b/>
        </w:rPr>
        <w:t xml:space="preserve">Quelle: </w:t>
      </w:r>
      <w:r>
        <w:t>https://mcp.opencaselaw.ch/entscheid/bger_7B_788_2025</w:t>
      </w:r>
    </w:p>
    <w:p>
      <w:r>
        <w:t>FR: TF 7B_788/2025 du 1 octobre 2025</w:t>
      </w:r>
    </w:p>
    <w:p>
      <w:r>
        <w:t>IT: TF 7B_788/2025 del 1 ottobre 2025</w:t>
      </w:r>
    </w:p>
    <w:p>
      <w:pPr>
        <w:pStyle w:val="Heading2"/>
      </w:pPr>
      <w:r>
        <w:t>Erwägungen</w:t>
      </w:r>
    </w:p>
    <w:p>
      <w:r>
        <w:rPr>
          <w:b/>
        </w:rPr>
        <w:t>E. 1</w:t>
      </w:r>
    </w:p>
    <w:p>
      <w:r>
        <w:t>Mit Beschluss vom 21. Juli 2025 wies das Obergericht des Kantons Solothurn die Beschwerde von A.________ gegen das abgewiesene Gesuch um Wechsel der amtlichen Verteidigung ab. A.________ gelangte dagegen mit Beschwerde in Strafsachen vom 11. August 2025 an das Bundesgericht.</w:t>
      </w:r>
    </w:p>
    <w:p>
      <w:r>
        <w:rPr>
          <w:b/>
        </w:rPr>
        <w:t>E. 2</w:t>
      </w:r>
    </w:p>
    <w:p>
      <w:r>
        <w:t>Der Beschwerdeführer setzt sich nicht substanziiert mit den Erwägungen der Vorinstanz auseinander, sondern übt lediglich allgemeine Kritik betreffend den Massnahmenvollzug. So eine rein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Ausgang des Verfahrens wird der Beschwerdeführer kostenpflichtig ( Art. 66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