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7B_788/2024 vom 23. September 2024</w:t>
      </w:r>
    </w:p>
    <w:p>
      <w:r>
        <w:t>Bundesgericht, 2024-09-23, DE</w:t>
      </w:r>
    </w:p>
    <w:p>
      <w:r>
        <w:rPr>
          <w:b/>
        </w:rPr>
        <w:t xml:space="preserve">Quelle: </w:t>
      </w:r>
      <w:r>
        <w:t>https://mcp.opencaselaw.ch/entscheid/bger_7B_788_2024</w:t>
      </w:r>
    </w:p>
    <w:p>
      <w:r>
        <w:t>FR: TF 7B_788/2024 du 23 septembre 2024</w:t>
      </w:r>
    </w:p>
    <w:p>
      <w:r>
        <w:t>IT: TF 7B_788/2024 del 23 settembre 2024</w:t>
      </w:r>
    </w:p>
    <w:p>
      <w:pPr>
        <w:pStyle w:val="Heading2"/>
      </w:pPr>
      <w:r>
        <w:t>Erwägungen</w:t>
      </w:r>
    </w:p>
    <w:p>
      <w:r>
        <w:rPr>
          <w:b/>
        </w:rPr>
        <w:t>E. 1</w:t>
      </w:r>
    </w:p>
    <w:p>
      <w:r>
        <w:t>Mit Verfügung vom 24. April 2024 nahm die Staatsanwaltschaft des Kantons Wallis ein von A.________ (nachfolgend: Beschwerdeführer) gegen B.________, C.________, D.________ und E.________ angestrengtes Strafverfahren nicht anhand. Dagegen erhob der Beschwerdeführer Beschwerde beim Kantonsgericht Wallis. Dieses trat mit Verfügung vom 20. Juni 2024 auf die Beschwerde nicht ein.</w:t>
      </w:r>
    </w:p>
    <w:p>
      <w:r>
        <w:rPr>
          <w:b/>
        </w:rPr>
        <w:t>E. 2</w:t>
      </w:r>
    </w:p>
    <w:p>
      <w:r>
        <w:t>Der Beschwerdeführer gelangt ans Bundesgericht und beantragt sinngemäss, die angefochtene Verfügung sei aufzuheben und gegen die angezeigten Personen sei ein Verfahren zu eröffnen.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Vorinstanz erwägt, der Beschwerdeführer sei im Sinne von Art. 383 StPO zur Leistung einer Kostensicherheit von Fr. 1'000.-- verpflichtet worden, wobei ihm im Säumnisfall angedroht worden sei, dass auf die Beschwerde nicht eingetreten werde. Zudem sei seine Beschwerde gestützt auf Art. 110 Abs. 4 [StPO] zurückgewiesen und er darauf hingewiesen worden, dass nach unbenutztem Ablauf der Frist zur Überarbeitung die Eingabe unbeachtet bleibe. Die in der Folge eingereichte Eingabe des Beschwerdeführers erfülle die Voraussetzungen nicht. Darüber hinaus habe er die Kostensicherheit nicht geleistet. Androhungsgemäss sei auf die "Beschwerde" nicht einzutreten. Der Beschwerdeführer setzt sich mit diesen Erwägungen nicht auseinander. Inwiefern und weshalb die angefochtene Verfügung Bundesrecht verletzen sollte, begründet er nicht. Ohnehin entfernt er sich über weite Strecken vom Gegenstand des vorliegenden Verfahrens. Die teilweise ungebührliche und jeglichen Anstand vermissende Beschwerde genügt den gesetzlichen Formerfordernissen offensichtlich nicht.</w:t>
      </w:r>
    </w:p>
    <w:p>
      <w:r>
        <w:rPr>
          <w:b/>
        </w:rPr>
        <w:t>E. 5</w:t>
      </w:r>
    </w:p>
    <w:p>
      <w:r>
        <w:t>Auf die Beschwerde ist im Verfahren nach Art. 108 BGG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