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786/2024 vom 26. Juli 2024</w:t>
      </w:r>
    </w:p>
    <w:p>
      <w:r>
        <w:t>Bundesgericht, 2024-07-26, FR</w:t>
      </w:r>
    </w:p>
    <w:p>
      <w:r>
        <w:rPr>
          <w:b/>
        </w:rPr>
        <w:t xml:space="preserve">Quelle: </w:t>
      </w:r>
      <w:r>
        <w:t>https://mcp.opencaselaw.ch/entscheid/bger_7B_786_2024</w:t>
      </w:r>
    </w:p>
    <w:p>
      <w:r>
        <w:t>FR: TF 7B 786/2024 du 26 juillet 2024</w:t>
      </w:r>
    </w:p>
    <w:p>
      <w:r>
        <w:t>IT: TF 7B 786/2024 del 26 luglio 2024</w:t>
      </w:r>
    </w:p>
    <w:p>
      <w:pPr>
        <w:pStyle w:val="Heading2"/>
      </w:pPr>
      <w:r>
        <w:t>Regeste</w:t>
      </w:r>
    </w:p>
    <w:p>
      <w:r>
        <w:t>Sanctions disciplinaires (recours manifestement irrecevable) | Exécution des peines et des mesures</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pour seule motivation, le recourant fait grief au juge précédent d'avoir confirmé les sanctions disciplinaires qui lui avaient été infligées et d'avoir ainsi cautionné le "travail forcé de l'EPCL", au mépris total de la maladie psychique (schizophrénie) dont il est atteint et en raison de laquelle il a été mis au bénéfice de l'assurance-invalidité. Ce faisant, le recourant s'abstient de tout développement propre à démontrer que le travail auquel il est astreint en détention serait pour autant incompatible avec son état de santé (cf. art. 80 al. 1 let. a et 81 al. 1 CP) ou que les sanctions prononcées seraient d'une autre manière au droit. Il ne saurait en particulier se satisfaire d'évoquer, sans autre développement, l' art. 4 CEDH , une telle motivation étant manifestement insuffisante sous l'angle de l' art. 106 al. 2 LTF .</w:t>
      </w:r>
    </w:p>
    <w:p>
      <w:r>
        <w:rPr>
          <w:b/>
        </w:rPr>
        <w:t>E. 2</w:t>
      </w:r>
    </w:p>
    <w:p>
      <w:r>
        <w:t>L'irrecevabilité manifeste du recours doit dès lors être constatée selon la procédure simplifiée prévue par l' art. 108 al. 1 let. b LTF . Comme le recours était d'emblée dénué de chances de succès, la demande d'assistance judiciaire doit être rejetée ( art. 64 al. 1 LTF ), ce qui relève également de la compétence du juge unique prévue par l' art. 108 LTF ( art. 64 al. 3 2 e phrase LTF; arrêt 7B_591/2024 du 10 juillet 2024 consid. 3).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