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7B_763/2023 vom 25. Oktober 2024</w:t>
      </w:r>
    </w:p>
    <w:p>
      <w:r>
        <w:t>Bundesgericht, 2024-10-25, DE</w:t>
      </w:r>
    </w:p>
    <w:p>
      <w:r>
        <w:rPr>
          <w:b/>
        </w:rPr>
        <w:t xml:space="preserve">Quelle: </w:t>
      </w:r>
      <w:r>
        <w:t>https://mcp.opencaselaw.ch/entscheid/bger_7B_763_2023</w:t>
      </w:r>
    </w:p>
    <w:p>
      <w:r>
        <w:t>FR: TF 7B_763/2023 du 25 octobre 2024</w:t>
      </w:r>
    </w:p>
    <w:p>
      <w:r>
        <w:t>IT: TF 7B_763/2023 del 25 ottobre 2024</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kritisiert die vorinstanzliche Sachverhaltsfeststellung und Beweiswürdigung und rügt eine Verletzung des Grundsatzes "in dubio pro reo". Er habe nicht gewusst, dass sich in den bei ihm sichergestellten Paketen Betäubungsmittel, insb. Kokain, befunden hätten und er sei nicht in den Betäubungsmittelhandel involviert gewesen.</w:t>
      </w:r>
    </w:p>
    <w:p>
      <w:r>
        <w:rPr>
          <w:b/>
        </w:rPr>
        <w:t>E. 2.2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356 E. 2.1; 146 IV 88 E. 1.3.1; je mit Hinweisen). Die Willkürrüge muss in der Beschwerde explizit vorgebracht und substanziiert begründet werden ( Art. 106 Abs. 2 BGG ). Auf ungenügend begründete Rügen oder auf rein appellatorische Kritik am angefochtenen Entscheid tritt das Bundesgericht nicht ein ( BGE 148 IV 39 E. 2.6; 147 IV 73 E. 4.1.2; 146 IV 114 E. 2.1; je mit Hinweisen).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2.3</w:t>
      </w:r>
    </w:p>
    <w:p>
      <w:r>
        <w:t>Der Beschwerdeführer vermag nicht aufzuzeigen, inwiefern die vorinstanzlichen Sachverhaltsfeststellungen offensichtlich unrichtig und damit willkürlich sein sollen. In seinen Rügen beschränkt er sich im Wesentlichen darauf zu betonen, zwar geahnt zu haben, dass die Pakete etwas Illegales, wie Betäubungsmittel, beinhalten könnten, er dies aber nicht mit Sicherheit gewusst haben soll. Seine Erklärungen, wie seine DNA in den sichergestellten Tiefkühlbeutel gelangen konnte und wem die Betäubungsmittelutensilien sonst gehört haben könnten, stellen lediglich Wiederholungen seiner Verteidigung vor der Vorinstanz dar und erschöpfen sich in appelatorischer Kritik. Unabhängig davon würden diese Vorbringen nichts daran ändern, dass die Vorinstanz bei der vorliegenden Beweislage mit ihren Sachverhaltsfestsellungen das Willkürverbot nicht verletzt. Es wurde eine erhebliche Menge an Betäubungsmitteln, insgesamt über 5,5 Kilogramm Haschisch und 273 Gramm reines Kokain, an verschiedenen Orten sichergestellt, die im (alleinigen) Einflussbereich des Beschwerdeführers liegen. So fand die Polizei Betäubungsmittel in seinen Jackeninnentaschen, im von ihm geführten Auto und in einem Tresor, für den er den Schlüssel besass. Zusätzlich wurden im Raum, in dem der Tresor stand, Betäubungsmittelutensilien sichergestellt, darunter ein Tiefkühlbeutel mit Milchzucker, der typischerweise als Streckmittel für Kokain verwendet wird. Auf der Innenseite dieses Beutels konnte die DNA des Beschwerdeführers festgestellt werden. Bei dieser Beweislage durfte die Vorinstanz ohne in Willkür zu verfallen zum Schluss gelangen, der Beschwerdeführer habe wissen müssen, dass sich Betäubungsmittel in den Paketen befinden. Die erheblichen Mengen an Betäubungsmitteln und die Betäubungsmittelutensilien, insbesondere der Tiefkühlbeutel mit Streckmittel, lassen zudem den willkürfreien Schluss zu, dass der Beschwerdeführer in den Betäubungsmittelhandel involviert war und dies wusste. Dies wird auch dadurch untermauert, dass es keinerlei Hinweise gibt und der Beschwerdeführer vor Bundesgericht auch nicht darlegt, wofür er die grossen Mengen an Haschisch und Kokain ausser dem Verkauf an Dritte sonst hätte verwenden sollen. Die Willkürrüge des Beschwerdeführers erweist sich als unbegründet, soweit überhaupt darauf einzutreten ist.</w:t>
      </w:r>
    </w:p>
    <w:p>
      <w:r>
        <w:rPr>
          <w:b/>
        </w:rPr>
        <w:t>E. 3.1</w:t>
      </w:r>
    </w:p>
    <w:p>
      <w:r>
        <w:t>In rechtlicher Hinsicht wendet der Beschwerdeführer ein, der Besitz von Betäubungsmitteln allein reiche nicht für die Erfüllung des Tatbestands von Art. 19 Abs. 2 lit. a BetmG aus.</w:t>
      </w:r>
    </w:p>
    <w:p>
      <w:r>
        <w:rPr>
          <w:b/>
        </w:rPr>
        <w:t>E. 3.2</w:t>
      </w:r>
    </w:p>
    <w:p>
      <w:r>
        <w:t>Gemäss Art. 19 Abs. 1 BetmG macht sich unter anderem strafbar, wer Betäubungsmittel unbefugt lagert, versendet, befördert, einführt, ausführt oder durchführt (lit. b),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6B_17/2022 vom 18. März 2024 E. 1.4; 6B_1280/2022 vom 4. Mai 2023 E. 4.1.1; je mit Hinweisen).</w:t>
      </w:r>
    </w:p>
    <w:p>
      <w:r>
        <w:rPr>
          <w:b/>
        </w:rPr>
        <w:t>E. 3.3</w:t>
      </w:r>
    </w:p>
    <w:p>
      <w:r>
        <w:t>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Dies ist etwa dann der Fall, wenn der Täter bereits Anstalten getroffen hat, um die sichergestellten Betäubungsmittel zu veräussern, oder wenn anderweitig feststeht, dass die Drogen für die Abgabe an Dritte bestimmt waren (Urteile 7B_689/2023 vom 26. August 2024 E. 6.3.3; 6B_134/2021 vom 20. Juni 2022 E. 1.3.5; je mit Hinweisen).</w:t>
      </w:r>
    </w:p>
    <w:p>
      <w:r>
        <w:rPr>
          <w:b/>
        </w:rPr>
        <w:t>E. 3.4</w:t>
      </w:r>
    </w:p>
    <w:p>
      <w:r>
        <w:t>Der Argumentation des Beschwerdeführers kann nicht gefolgt werden. Sie übersieht, dass nach der dargelegten Rechtsprechung bereits der Besitz zur Erfüllung des Tatbestands von Art. 19 Abs. 2 lit. a BetmG ausreicht, sofern feststeht, dass die Betäubungsmittel für die Abgabe an Dritte vorgesehen waren. Wie oben ausgeführt, durfte die Vorinstanz aufgrund der konkreten Umstände und der erheblichen Menge ohne in Willkur zu verfallen davon ausgehen, dass der Beschwerdeführer beabsichtigte, das Kokain, das bei ihm gefunden wurde, an Dritte abzugeben (vgl. E. 2.3 hiervor). Daran würde auch nichts ändern, wenn der Beschwerdeführer noch keine Anstalten für das effektive Inverkehrbringen getroffen haben sollte, wie er geltend macht. Die Vorinstanz hat den schweren Fall im Sinne von Art. 19 Abs. 2 lit. a BetmG zu Recht bejaht.</w:t>
      </w:r>
    </w:p>
    <w:p>
      <w:r>
        <w:rPr>
          <w:b/>
        </w:rPr>
        <w:t>E. 4</w:t>
      </w:r>
    </w:p>
    <w:p>
      <w:r>
        <w:t>Seine Begehren, die Kosten des kantonalen Verfahrens seien ihm nur zu einem Drittel aufzuerlegen und das übrig gebliebene Bargeld sei ihm herauszugeben, begründet der Beschwerdeführer nur mit der beantragten milderen Qualifikation der Tat. Da es beim Schuldspruch bleibt, ist darauf nicht weiter einzugehen.</w:t>
      </w:r>
    </w:p>
    <w:p>
      <w:r>
        <w:rPr>
          <w:b/>
        </w:rPr>
        <w:t>E. 5</w:t>
      </w:r>
    </w:p>
    <w:p>
      <w:r>
        <w:t>Bei diesem Ausgang des Verfahrens wird der Beschwerdeführer kostenpflichtig ( Art. 66 Abs. 1 BGG ). Sein Gesuch um unentgeltliche Rechtspflege ist abzuweisen, da die Beschwerde von vornherein aussichtslos war ( Art. 64 BGG ). Den finanziellen Verhältnissen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