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7B_761/2023 vom 20. Dezember 2023</w:t>
      </w:r>
    </w:p>
    <w:p>
      <w:r>
        <w:t>Bundesgericht, 2023-12-20, DE</w:t>
      </w:r>
    </w:p>
    <w:p>
      <w:r>
        <w:rPr>
          <w:b/>
        </w:rPr>
        <w:t xml:space="preserve">Quelle: </w:t>
      </w:r>
      <w:r>
        <w:t>https://mcp.opencaselaw.ch/entscheid/bger_7B_761_2023</w:t>
      </w:r>
    </w:p>
    <w:p>
      <w:r>
        <w:t>FR: TF 7B_761/2023 du 20 décembre 2023</w:t>
      </w:r>
    </w:p>
    <w:p>
      <w:r>
        <w:t>IT: TF 7B_761/2023 del 20 dicembre 2023</w:t>
      </w:r>
    </w:p>
    <w:p>
      <w:pPr>
        <w:pStyle w:val="Heading2"/>
      </w:pPr>
      <w:r>
        <w:t>Erwägungen</w:t>
      </w:r>
    </w:p>
    <w:p>
      <w:r>
        <w:rPr>
          <w:b/>
        </w:rPr>
        <w:t>E. 1</w:t>
      </w:r>
    </w:p>
    <w:p>
      <w:r>
        <w:t>Die Staatsanwaltschaft Rheinfelden-Laufenburg führte wegen verschiedenen von der Beschwerdeführerin erhobenen Vorwürfen, unter anderem Ausnützung einer Notlage, Nötigung und Drohung, eine Strafuntersuchung gegen B.________. Am 25. August 2023 stellte die Staatsanwaltschaft das Verfahren ein. Die Oberstaatsanwaltschaft des Kantons Aargau genehmigte die Einstellung am 28. August 2023.</w:t>
      </w:r>
    </w:p>
    <w:p>
      <w:r>
        <w:rPr>
          <w:b/>
        </w:rPr>
        <w:t>E. 2</w:t>
      </w:r>
    </w:p>
    <w:p>
      <w:r>
        <w:t>Am 5. September 2023 erhob die Beschwerdeführerin dagegen Beschwerde beim Obergericht des Kantons Aargau und beantragte die Aufhebung der Einstellungsverfügung und stellte Entschädigungs- und Schadenersatzforderungen über Fr. 15'000.-- bzw. Fr. 10'000.--. Mit Verfügung vom 25. September 2023 forderte das Obergericht die Beschwerdeführerin auf, innert 10 Tagen eine Sicherheitsleistung von Fr. 800.-- zu überweisen. Dagegen erhob die Beschwerdeführerin am 9. Oktober 2023 (eingegangen am 16. Oktober 2023) beim Bundesgericht Beschwerde in Strafsachen (Verfahren 7B_761/2023).</w:t>
      </w:r>
    </w:p>
    <w:p>
      <w:r>
        <w:t>Da die Beschwerdeführerin innert Frist die Sicherheit nicht leistete, trat das Obergericht mit Entscheid vom 18. Oktober 2023 nicht auf die Beschwerde ein und auferlegte der Beschwerdeführerin die Gerichtsgebühr von insgesamt Fr. 247.--. Dagegen erhob die Beschwerdeführerin am 2. November 2023 (eingegangen am 3. November 2023) eine weitere Beschwerde in Strafsachen (Verfahren 7B_855/2023).</w:t>
      </w:r>
    </w:p>
    <w:p>
      <w:r>
        <w:rPr>
          <w:b/>
        </w:rPr>
        <w:t>E. 3</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weshalb die Verfahren 7B_761/2023 und 7B_855/2023 zu vereinigen und die Beschwerden in einem einzigen Entscheid zu behandeln sind.</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5</w:t>
      </w:r>
    </w:p>
    <w:p>
      <w:r>
        <w:t>Beide Beschwerden enthalten weder ein Begehren noch lässt sich diesen entnehmen, dass und inwiefern die Vorinstanz mit dem angefochtenen Urteil gegen das geltende Recht im Sinne von Art. 95 BGG verstossen haben soll. Die Beschwerdeführerin legt insbesondere nicht rechtsgenüglich dar, weshalb es ihr nicht möglich gewesen sein soll, den Kostenvorschuss innert Frist zu leisten oder dass die Vorinstanz ihr zu Unrecht die unentgeltliche Rechtspflege verweigert hätte. Die Beschwerden vermögen damit den strengen Begründungsanforderungen offensichtlich nicht zu genügen.</w:t>
      </w:r>
    </w:p>
    <w:p>
      <w:r>
        <w:rPr>
          <w:b/>
        </w:rPr>
        <w:t>E. 6</w:t>
      </w:r>
    </w:p>
    <w:p>
      <w:r>
        <w:t>Auf die Beschwerde ist im Verfahren nach Art. 108 BGG nicht einzutreten. In Anbetracht der Umstände wird ausnahmsweise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