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7B_756/2023 vom 18. Dezember 2023</w:t>
      </w:r>
    </w:p>
    <w:p>
      <w:r>
        <w:t>Bundesgericht, 2023-12-18, DE</w:t>
      </w:r>
    </w:p>
    <w:p>
      <w:r>
        <w:rPr>
          <w:b/>
        </w:rPr>
        <w:t xml:space="preserve">Quelle: </w:t>
      </w:r>
      <w:r>
        <w:t>https://mcp.opencaselaw.ch/entscheid/bger_7B_756_2023</w:t>
      </w:r>
    </w:p>
    <w:p>
      <w:r>
        <w:t>FR: TF 7B_756/2023 du 18 décembre 2023</w:t>
      </w:r>
    </w:p>
    <w:p>
      <w:r>
        <w:t>IT: TF 7B_756/2023 del 18 dicembre 2023</w:t>
      </w:r>
    </w:p>
    <w:p>
      <w:pPr>
        <w:pStyle w:val="Heading2"/>
      </w:pPr>
      <w:r>
        <w:t>Erwägungen</w:t>
      </w:r>
    </w:p>
    <w:p>
      <w:r>
        <w:rPr>
          <w:b/>
        </w:rPr>
        <w:t>E. 1</w:t>
      </w:r>
    </w:p>
    <w:p>
      <w:r>
        <w:t>Das Stadtrichteramt Zürich stellte am 22. Juni 2023 die Untersuchung gegen B.________ wegen eines Vorfalls vom 13. September 2022 ein. Dagegen erhob die Beschwerdeführerin Beschwerde beim Obergericht des Kantons Zürich. Mit Verfügung vom 7. Juli 2023 forderte das Obergericht die Beschwerdeführerin auf, innert 30 Tagen für allfällige Prozesskosten Sicherheit zu leisten. Da der Aufforderung zur Sicherheitsleistung nicht innert Frist nachgekommen wurde, trat das Obergericht wie angekündigt mit Verfügung vom 29. September 2023 nicht auf die Beschwerde ein und auferlegte der Beschwerdeführerin die Gerichtsgebühr von Fr. 300.--. Die Beschwerdeführerin erhob dagegen am 10. Oktober 2023 (eingegangen am 16. Oktober 2023) beim Bundesgericht Beschwerde in Strafsachen. Sie ersucht um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w:t>
      </w:r>
    </w:p>
    <w:p>
      <w:r>
        <w:t>Die Beschwerde enthält, abgesehen vom Gesuch um unentgeltliche Rechtspflege für das bundesgerichtliche Verfahren, weder einen Antrag noch eine Begründung. Sie beschränkt sich auf wenige Sätze und erklärt, dass "gegen das Urteil (Einstellungsverfügung) " fristgerecht Beschwerde erhoben werde. Zudem wird beantragt, der Beschwerdeführerin "keine weitere Post" zuzustellen. Damit lässt sich der Beschwerde nicht ansatzweise entnehmen, dass und inwiefern die Vorinstanz mit dem angefochtenen Urteil geltendes Recht im Sinne von Art. 95 BGG verletzt haben soll. Insbesondere legt die Beschwerdeführerin nicht rechtsgenüglich dar, weshalb es ihr nicht möglich gewesen sein soll, den Kostenvorschuss fristgerecht zu leisten, oder dass die Vorinstanz ihr die unentgeltliche Rechtspflege zu Unrecht verweigert habe. Damit vermag die Beschwerde den Begründungs-anforderungen offensichtlich nicht zu genügen.</w:t>
      </w:r>
    </w:p>
    <w:p>
      <w:r>
        <w:rPr>
          <w:b/>
        </w:rPr>
        <w:t>E. 4</w:t>
      </w:r>
    </w:p>
    <w:p>
      <w:r>
        <w:t>Auf die Beschwerde ist im Verfahren nach Art. 108 BGG nicht einzutreten. Die Gerichtskosten sind der Beschwerdeführerin aufzuerlegen ( Art. 66 Abs. 1 BGG ). Das Gesuch um unentgeltliche Rechtspflege ist wegen offensichtlicher Aussichtslosigkeit der Beschwerde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