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7B_754/2023 vom 8. April 2025</w:t>
      </w:r>
    </w:p>
    <w:p>
      <w:r>
        <w:t>Bundesgericht, 2025-04-08, DE</w:t>
      </w:r>
    </w:p>
    <w:p>
      <w:r>
        <w:rPr>
          <w:b/>
        </w:rPr>
        <w:t xml:space="preserve">Quelle: </w:t>
      </w:r>
      <w:r>
        <w:t>https://mcp.opencaselaw.ch/entscheid/bger_7B_754_2023</w:t>
      </w:r>
    </w:p>
    <w:p>
      <w:r>
        <w:t>FR: TF 7B_754/2023 du 8 avril 2025</w:t>
      </w:r>
    </w:p>
    <w:p>
      <w:r>
        <w:t>IT: TF 7B_754/2023 del 8 aprile 2025</w:t>
      </w:r>
    </w:p>
    <w:p>
      <w:pPr>
        <w:pStyle w:val="Heading2"/>
      </w:pPr>
      <w:r>
        <w:t>Erwägungen</w:t>
      </w:r>
    </w:p>
    <w:p>
      <w:r>
        <w:rPr>
          <w:b/>
        </w:rPr>
        <w:t>E. 1.1</w:t>
      </w:r>
    </w:p>
    <w:p>
      <w:r>
        <w:t>Angefochten ist ein Entscheid über die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1.2</w:t>
      </w:r>
    </w:p>
    <w:p>
      <w:r>
        <w:t>Das Bundesgericht prüft im Rahmen der Beschwerde in Strafsachen nur, ob die kantonale Instanz das Bundesrecht richtig angewendet hat, mithin jenes Recht, welches die Vorinstanz im angefochtenen Entscheid anwenden musste (Urteil 7B_158/2023 vom 6. August 2024 E. 1.4 mit Hinweisen). Das Siegelungsrecht wurde in der auf den 1. Januar 2024 in Kraft gesetzten Gesetzesreform revidiert (AS 2023 468; BBl 2019 6697). Der hier streitige Entscheid des Zwangsmassnahmengerichts datiert indessen vom 6. September 2023. Massgebend für die Beurteilung der bundesgerichtlichen Beschwerde sind damit die bis zum 31. Dezember 2023 geltenden Bestimmungen.</w:t>
      </w:r>
    </w:p>
    <w:p>
      <w:r>
        <w:rPr>
          <w:b/>
        </w:rPr>
        <w:t>E. 2.1</w:t>
      </w:r>
    </w:p>
    <w:p>
      <w:r>
        <w:t>Der angefochtene Entscheid schliesst das Strafverfahren nicht ab. Er kann deshalb nur unter den Voraussetzungen von Art. 92 und 93 BGG angefochten werden. Die Beschwerde ist insbesondere zulässig, wenn er einen nicht wieder gutzumachenden Nachteil bewirken kann ( Art. 93 Abs. 1 lit. a BGG ).</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bestimmt, mit Hinweisen).</w:t>
      </w:r>
    </w:p>
    <w:p>
      <w:r>
        <w:rPr>
          <w:b/>
        </w:rPr>
        <w:t>E. 2.3</w:t>
      </w:r>
    </w:p>
    <w:p>
      <w:r>
        <w:t>Der Beschwerdeführer beruft sich zum einen auf Geschäftsgeheimnisse der KA BOOM Kommunikationsagentur AG. Jedoch ist er nicht legitimiert, allfällige Geheimnisinteressen von Dritten in eigenem Namen geltend zu machen (Urteil 7B_94/2022 vom 10. Oktober 2024 E. 4.2.2 mit Hinweis). Die von ihm angerufenen Geschäftsgeheimnisse sind daher - auch unter Geltung von aArt. 248a Abs. 1 StPO - von vornherein nicht geeignet, einen ihm drohenden nicht wieder gutzumachender Nachteil im Sinne von Art. 93 Abs. 1 lit. a BGG darzutun.</w:t>
      </w:r>
    </w:p>
    <w:p>
      <w:r>
        <w:rPr>
          <w:b/>
        </w:rPr>
        <w:t>E. 2.4</w:t>
      </w:r>
    </w:p>
    <w:p>
      <w:r>
        <w:t>Der Beschwerdeführer bringt weiter vor, auf dem sichergestellten iPhone sowie iPad würden sich ihn betreffende besonders schützenswerte Personendaten befinden. Es seien dies insbesondere Bank- und Steuerdaten sowie Bild- und Videodateien. In allgemeiner Art und Weise dürfe sodann als bekannt vorausgesetzt werden, dass insbesondere Computer oft sensible Informationen enthalten würden, die nicht für die Augen Dritter bestimmt seien. Er beruft sich damit auf sogenannte Privatgeheimnisse im Sinne von Art. 264 Abs. 1 lit. b StPO .</w:t>
      </w:r>
    </w:p>
    <w:p>
      <w:r>
        <w:t>Bei der vollständigen Durchsuchung von privat genutzten Smartphones (oder damit synchronisierten iPads und Computern) ist zwar ohne Weiteres davon auszugehen, dass persönliche Aufzeichnungen und Korrespondenz im Sinne von Art. 264 Abs. 1 lit. b StPO tangiert sind. Dies vermag für sich alleine indessen noch keine schutzwürdigen Geheimnisinteressen im Sinne von Art. 248 Abs. 1 StPO und damit auch keinen nicht wieder gutzumachenden Nachteil im Sinne von Art. 93 Abs. 1 lit. a BGG zu begründen. Persönliche Aufzeichnungen und Korrespondenz der beschuldigten Person sind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dartut oder ohne Weiteres erkennbar ist, dass das Interesse am Schutz ihrer Persönlichkeit gegenüber dem Strafverfolgungsinteresse überwiegen könnte (Urteil 7B_145/2025 vom 25. März 2025 E. 2.7, zur Publikation bestimmt, mit Hinweisen).</w:t>
      </w:r>
    </w:p>
    <w:p>
      <w:r>
        <w:t>Das Zwangsmassnahmengericht ordnete aus Gründen der Verhältnismässigkeit eine Triage der auf den sichergestellten Datenträgern enthaltenen Inhalte unter Zuhilfenahme einer sachverhaltsrelevante Begriffe enthaltenden Stichwortliste an. Die hierbei durchgeführte Stichwortsuche unter gesamthaft 2'035'112 aufbereiteten elektronischen Dateien führte lediglich bei 237 dieser Dateien zu Treffern. Einzig Letztere wurden auf einem separaten Datenträger gespeichert und sind nach dem Entscheid der Vorinstanz zu entsiegeln und damit der Staatsanwaltschaft zur Durchsuchung freizugeben.</w:t>
      </w:r>
    </w:p>
    <w:p>
      <w:r>
        <w:t>Der Beschwerdeführer rügt in erster Linie, die Stichwortliste sei zu weit gefasst, womit die Vorinstanz den Grundsatz der Verhältnismässigkeit verletze. Indessen tut der Beschwerdeführer nicht nachvollziehbar dar und ist angesichts der nur sehr begrenzten Freigabe auch nicht ohne Weiteres ersichtlich, weshalb das Interesse des Beschwerdeführers am Schutz seiner Persönlichkeit dem Strafverfolgungsinteresse vorgehen könnte. Es droht daher von vornherein keine Offenbarung eines geschützten Geheimnisses und damit auch kein nicht wieder gutzumachender Nachteil im Sinne von Art. 93 Abs. 1 lit. a BGG .</w:t>
      </w:r>
    </w:p>
    <w:p>
      <w:r>
        <w:rPr>
          <w:b/>
        </w:rPr>
        <w:t>E. 3</w:t>
      </w:r>
    </w:p>
    <w:p>
      <w:r>
        <w:t>Nach dem Gesagten ist auf die Beschwerde nicht einzutreten. 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