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7B_753/2024 vom 28. August 2024</w:t>
      </w:r>
    </w:p>
    <w:p>
      <w:r>
        <w:t>Bundesgericht, 2024-08-28, DE</w:t>
      </w:r>
    </w:p>
    <w:p>
      <w:r>
        <w:rPr>
          <w:b/>
        </w:rPr>
        <w:t xml:space="preserve">Quelle: </w:t>
      </w:r>
      <w:r>
        <w:t>https://mcp.opencaselaw.ch/entscheid/bger_7B_753_2024</w:t>
      </w:r>
    </w:p>
    <w:p>
      <w:r>
        <w:t>FR: TF 7B_753/2024 du 28 août 2024</w:t>
      </w:r>
    </w:p>
    <w:p>
      <w:r>
        <w:t>IT: TF 7B_753/2024 del 28 agosto 2024</w:t>
      </w:r>
    </w:p>
    <w:p>
      <w:pPr>
        <w:pStyle w:val="Heading2"/>
      </w:pPr>
      <w:r>
        <w:t>Erwägungen</w:t>
      </w:r>
    </w:p>
    <w:p>
      <w:r>
        <w:rPr>
          <w:b/>
        </w:rPr>
        <w:t>E. 1</w:t>
      </w:r>
    </w:p>
    <w:p>
      <w:r>
        <w:t>Am 18. März 2024 reichte der Beschwerdeführer bei der Staatsanwaltschaft See/Oberland Strafanzeige gegen den "Regierungspräsidenten" B.________ sowie gegen unbekannte Täterschaft wegen Missbrauchs einer Fernmeldeanlage, Nötigung, sexueller Belästigung und sexueller Nötigung bzw. Begünstigung dazu ein. Das Verfahren wurde mit Verfügung vom 22. März 2024 zuständigkeitshalber an die Staatsanwaltschaft II des Kantons Zürich abgetreten, welche am 25. März 2024 die Nichtanhandnahme eines Strafverfahrens verfügte. Das Obergericht des Kantons Zürich wies die vom Beschwerdeführer dagegen erhobene Beschwerde mit Beschluss vom 19. Juni 2024 ab. Der Beschwerdeführer wendet sich gegen diesen Beschluss mit Beschwerde vom 9. Juli 2024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3.1</w:t>
      </w:r>
    </w:p>
    <w:p>
      <w:r>
        <w:t>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 2).</w:t>
      </w:r>
    </w:p>
    <w:p>
      <w:r>
        <w:rPr>
          <w:b/>
        </w:rPr>
        <w:t>E. 3.2</w:t>
      </w:r>
    </w:p>
    <w:p>
      <w:r>
        <w:t>Der Beschwerdeführer erhob zusammengefasst Strafanzeige gegen den "Regierungspräsidenten" B.________ sowie (teilweise unbekannte) Angehörige der Kantonspolizei Zürich. Diese sollen dafür verantwortlich sein, dass gegen ihn seit längerer Zeit Funkübergriffe bzw. Funkattacken stattfänden und ihm elektronisch nachgestellt werde. Dabei gehe es um Belästigungen mentaler (Gedankenblockaden), akustischer (hauptsächlich verbaler), physiologischer, energetischer (willkürlich lästige Schwingungen), überwachender (reaktiver, inkl. Datenverarbeitung), nötigender, sexueller (perverser und lautstarker) Art etc. Die Strafanzeige richtet sich damit gegen Amtspersonen bzw. Angestellte des Kantons Zürich, gegen welche grundsätzlich nur öffentlich-rechtliche Ansprüche bestehen. Es ist nicht erkennbar, weshalb dem Beschwerdeführer gegen diese von ihm angezeigten Personen Zivilansprüche zustehen sollten. Dies legt der Beschwerdeführer denn auch mit keinem Wort dar. In Ermangelung eines Zivilanspruchs ist der Beschwerdeführer damit nicht zur Beschwerde berechtigt. Auf die offensichtlich unzulässige Beschwerde ist nicht einzutreten ( Art. 108 Abs. 1 lit. a BGG ).</w:t>
      </w:r>
    </w:p>
    <w:p>
      <w:r>
        <w:rPr>
          <w:b/>
        </w:rPr>
        <w:t>E. 4</w:t>
      </w:r>
    </w:p>
    <w:p>
      <w:r>
        <w:t>Der Beschwerdeführer rügt ferner keine Verletzung von Verfahrensrechten, deren Missachtung einer formellen Rechtsverweigerung gleichkommt ("Star-Praxis"; BGE 146 IV 76 E. 2; 141 IV 1 E. 1.1). Zwar werden in der Beschwerde eine Reihe von "verfassungsmässigen Grundrechten" aufgezählt, ohne dass jedoch nur schon ansatzweise nachvollziehbar dargelegt wird, weshalb diese verletzt worden sein sollen. Damit ist auch unter diesem Titel nicht auf die Beschwerde einzutreten.</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