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7B_746/2024 vom 5. November 2024</w:t>
      </w:r>
    </w:p>
    <w:p>
      <w:r>
        <w:t>Bundesgericht, 2024-11-05, DE</w:t>
      </w:r>
    </w:p>
    <w:p>
      <w:r>
        <w:rPr>
          <w:b/>
        </w:rPr>
        <w:t xml:space="preserve">Quelle: </w:t>
      </w:r>
      <w:r>
        <w:t>https://mcp.opencaselaw.ch/entscheid/bger_7B_746_2024</w:t>
      </w:r>
    </w:p>
    <w:p>
      <w:r>
        <w:t>FR: TF 7B_746/2024 du 5 novembre 2024</w:t>
      </w:r>
    </w:p>
    <w:p>
      <w:r>
        <w:t>IT: TF 7B_746/2024 del 5 novembre 2024</w:t>
      </w:r>
    </w:p>
    <w:p>
      <w:pPr>
        <w:pStyle w:val="Heading2"/>
      </w:pPr>
      <w:r>
        <w:t>Erwägungen</w:t>
      </w:r>
    </w:p>
    <w:p>
      <w:r>
        <w:rPr>
          <w:b/>
        </w:rPr>
        <w:t>E. 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Urteile 7B_182/2024 vom 26. März 2024 E. 2.1.2;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7B_120/2022 vom 5. Oktober 2023 E. 1.3.1; 6B_1398/2021 vom 15. November 2022 E. 1.2;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diese erfüllt sind (Urteile 6B_787/2022 vom 5. Dezember 2022 E. 2.2.2; 6B_1398/2021 vom 15. November 2022 E. 1.2; 6B_637/2021 vom 21. Januar 2022 E. 2.1). Dabei genügt nicht,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E.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(statt vieler: Urteile 7B_182/2024 vom 26. März 2024 E. 2.1.2; 7B_18/2024 vom 14. März 2024 E. 2; je mit Hinweisen).</w:t>
      </w:r>
    </w:p>
    <w:p>
      <w:r>
        <w:rPr>
          <w:b/>
        </w:rPr>
        <w:t>E. 2</w:t>
      </w:r>
    </w:p>
    <w:p>
      <w:r>
        <w:t>Die Beschwerde äussert sich nur rudimentär zur Sachlegitimation. Geltend gemacht wird: Die Beschwerdeführenden haben am vorinstanzlichen Verfahren als Privatkläger teilgenommen und haben ein rechtlich geschütztes Interesse an der Aufhebung der Einstellungsverfügung. Als Privatkläger machten sie Ansprüche auf Schadenersatz geltend, welche als Zivilansprüche im Sinne von Art. 81 Abs. 1 lit. b Ziff. 5 BGG gälten. Damit enthält die Beschwerde offensichtlich keine hinreichende Begründung. Im Verfahren vor Bundesgericht ist detailliert aufzuzeigen, aus welchen Gründen und inwiefern sich der angefochtene Beschluss auf welchen konkreten Zivilanspruch auswirken kann (siehe Erwägung 1 hiervor). Die Begründung muss dabei in der Beschwerde selbst enthalten sein; der blosse Verweis auf Ausführungen in anderen Rechtsschriften oder auf die Akten genügt nicht ( BGE 143 IV 122 E. 3.3; 140 III 115 E. 2; je mit Hinweisen). Im Sinne der dargelegten Ausnahmebestimmung von den Begründungsanforderungen abzusehen, ist vorliegend nicht angezeigt, da die zur Anzeige gebrachten Delikte - falsche Anschuldigung, Irreführung der Rechtspflege, strafbare Handlungen gegen die Ehre und Nötigung - nicht unmittelbar zu einer Beeinträchtigung der körperlichen, psychischen oder sexuellen Integrität geführt haben, was im Übrigen von den Beschwerdeführenden in der gesamten Beschwerdeschrift zu Recht an keiner Stelle vorgebracht wird.</w:t>
      </w:r>
    </w:p>
    <w:p>
      <w:r>
        <w:rPr>
          <w:b/>
        </w:rPr>
        <w:t>E. 3</w:t>
      </w:r>
    </w:p>
    <w:p>
      <w:r>
        <w:t>In der Beschwerde wird ferner keine Verletzung von Verfahrensrechten gerügt, deren Missachtung einer formellen Rechtsverweigerung gleichkommen würde ("Star-Praxis"; BGE 146 IV 76 E. 2; 141 IV 1 E. 1.1). Denn nicht zu hören sind dabei Rügen, die im Ergebnis auf eine materielle Überprüfung des angefochtenen Entscheids abzielen (Urteile 7B_126/2024 vom 22. April 2024 E. 1.2.1 mit Hinweis; 7B_112/2022 vom 22. November 2023 E. 1.1). Die Beschwerdeführenden rügen zwar - wenn auch nicht explizit im Zusammenhang mit den Eintretensvoraussetzungen - eine Verletzung des rechtlichen Gehörs. Sie monieren im Wesentlichen, dass die Vorinstanz gewisse Vorwürfe zwar zitiere, diese aber "in der Entscheidfindung betreffend falsche Anschuldigung nicht berücksichtigt" (Beschwerde S. 9 in fine). Die Beschwerdeführenden möchten damit nicht die Berechtigung erwirken, am Verfahren teilzunehmen, sondern bezwecken eine inhaltliche Überprüfung des angefochtenen Beschlusses. Dies ist unter diesem Titel ausgeschlossen.</w:t>
      </w:r>
    </w:p>
    <w:p>
      <w:r>
        <w:rPr>
          <w:b/>
        </w:rPr>
        <w:t>E. 4</w:t>
      </w:r>
    </w:p>
    <w:p>
      <w:r>
        <w:t>Auf die Beschwerde ist nicht einzutreten. Die Gerichtskosten sind den Beschwerdeführenden unter solidarischer Haftbarkeit und intern zu gleichen Teilen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