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745/2023 vom 12. Dezember 2023</w:t>
      </w:r>
    </w:p>
    <w:p>
      <w:r>
        <w:t>Bundesgericht, 2023-12-12, FR</w:t>
      </w:r>
    </w:p>
    <w:p>
      <w:r>
        <w:rPr>
          <w:b/>
        </w:rPr>
        <w:t xml:space="preserve">Quelle: </w:t>
      </w:r>
      <w:r>
        <w:t>https://mcp.opencaselaw.ch/entscheid/bger_7B_745_2023</w:t>
      </w:r>
    </w:p>
    <w:p>
      <w:r>
        <w:t>FR: TF 7B 745/2023 du 12 décembre 2023</w:t>
      </w:r>
    </w:p>
    <w:p>
      <w:r>
        <w:t>IT: TF 7B 745/2023 del 12 dicembre 2023</w:t>
      </w:r>
    </w:p>
    <w:p>
      <w:pPr>
        <w:pStyle w:val="Heading2"/>
      </w:pPr>
      <w:r>
        <w:t>Regeste</w:t>
      </w:r>
    </w:p>
    <w:p>
      <w:r>
        <w:t>Conduite d'un véhicule non conforme aux prescriptions; arbitraire; droit d'être entendu, | Infractions</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prévenu,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Il y a donc lieu d'entrer en matière.</w:t>
      </w:r>
    </w:p>
    <w:p>
      <w:r>
        <w:rPr>
          <w:b/>
        </w:rPr>
        <w:t>E. 2.1</w:t>
      </w:r>
    </w:p>
    <w:p>
      <w:r>
        <w:t>Le recourant invoque une violation de l'interdiction de l'arbitraire ( art. 9 Cst. ).</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148 IV 409 consid. 2.2; 147 IV 73 consid. 4.1.2). Lorsque l'autorité cantonale a forgé sa conviction sur la base d'un ensemble d'éléments ou d'indices convergents, il ne suffit pas que l'un ou l'autre de ceux-ci ou même chacun d'eux pris isolément soit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6B_313/2023 du 23 octobre 2023 consid. 3.1 et les arrêt cités). Lorsque le recours en matière pénale est dirigé contre une décision d'une autorité de dernière instance cantonale dont le pouvoir d'examen est limité à l'arbitraire en matière de constatation des faits (cf. art. 398 al. 4 CPP ), l'examen du Tribunal fédéral porte concrètement sur l'arbitraire du jugement de l'autorité inférieure, à la lumière des griefs soulevés dans l'acte de recours. Pour se conformer aux exigences de motivation, le recourant doit exposer pourquoi l'autorité cantonale aurait à tort admis ou nié l'arbitraire dans l'appréciation des preuves faite par l'autorité de première instance. Le Tribunal fédéral se prononce librement sur cette question (arrêt 6B_121/2023 du 4 mai 2023 consid. 1.2.2 et les arrêts cités; cf. ATF 125 I 492 consid. 1).</w:t>
      </w:r>
    </w:p>
    <w:p>
      <w:r>
        <w:rPr>
          <w:b/>
        </w:rPr>
        <w:t>E. 2.3</w:t>
      </w:r>
    </w:p>
    <w:p>
      <w:r>
        <w:t>La cour cantonale a rappelé le grief formulé par le recourant, à savoir que le tribunal de première instance avait constaté à tort qu'il avait changé l'aileron du véhicule pour le présenter à l'expertise, que les feux de croisement et de position de couleur bleue n'étaient pas conformes et que le bruit causé par le véhicule dépassait les valeurs limites; ce tribunal n'avait ainsi pas retenu un état de fait conforme à la réalité. L'autorité cantonale a considéré que le recourant ne démontrait pas dans quelle mesure le premier juge aurait fait preuve d'arbitraire dans l'appréciation des preuves et l'établissement des faits. Elle a précisé que le recourant s'était contenté d'opposer sa propre appréciation des preuves, sans indiquer clairement en quoi le tribunal de première instance aurait versé dans l'arbitraire lorsqu'elle les avait appréciées et pourquoi le résultat auquel il était parvenu se révélait insoutenable. Elle a ajouté qu'en l'état du dossier, il ne saurait être dit que le premier juge avait forgé son intime conviction en contradiction évidente avec les pièces du dossier (arrêt querellé, p. 4).</w:t>
      </w:r>
    </w:p>
    <w:p>
      <w:r>
        <w:rPr>
          <w:b/>
        </w:rPr>
        <w:t>E. 2.4</w:t>
      </w:r>
    </w:p>
    <w:p>
      <w:r>
        <w:t>Le recourant reproche à la cour cantonale d'avoir écarté ses griefs sans les examiner. Il ne prétend cependant pas qu'il aurait fourni, en indiquant des références précises à son mémoire d'appel, des explications détaillées et pertinentes permettant de considérer que le premier juge aurait versé dans l'arbitraire ou serait parvenu, dans le cadre de l'appréciation des preuves figurant au dossier et de la constatation des faits, à un résultat manifestement insoutenable. En particulier, pour ce faire, le recourant ne saurait simplement se référer à ses propres déclarations, livrées lors de son audition du</w:t>
      </w:r>
    </w:p>
    <w:p>
      <w:r>
        <w:rPr>
          <w:b/>
        </w:rPr>
        <w:t>E. 7</w:t>
      </w:r>
    </w:p>
    <w:p>
      <w:r>
        <w:t>mars 2021, le recourant a récupéré le véhicule, que celui-ci était muni de plaques professionnelles et que le recourant s'est déplacé avec en direction du canton du Valais pour l'y ramener dans son propre garage. Cela étant, le recourant ne saurait se prévaloir d'une course d'essai au sens de l' art. 24 al. 1 OAV pour justifier le fait que son véhicule n'était pas conforme aux prescriptions. La course d'essai doit en effet avoir pour unique but de constater un défaut impossible à déceler autrement ou de s'assurer qu'une réparation ou une modification a été effectuée dans les règles de l'art. Or, dans le cas présent, la réparation ne portait que sur les manchettes du véhicule. La course d'essai, ou une éventuelle course de transfert (le Tribunal fédéral n'ayant, dans ce cadre, pas distingué les deux notions; cf. arrêt 6S.389/1991 du 6 août 1991 consid. 2), ne pouvait dès lors que concerner ce point en particulier, et non les autres modifications apportées au véhicule, comme l'aileron, les feux de croisement et de position de couleur bleue et le bruit. A cet égard, le recourant ne prétend pas que ces modifications auraient été défectueuses et qu'il aurait ramené le véhicule au garage zurichois pour y remédier. Il n'expose pas non plus que le trajet depuis celui-ci aurait également servi à vérifier si ces modifications avaient été effectuées dans les règles de l'art (cf. à cet égard les déclarations du recourant; dossier cantonal, p. 101035). 4.5. Ainsi, c'est à juste titre que l'autorité cantonale a considéré que le motif justificatif légal prévu par l' art. 24 al. 1 OAV pour les conducteurs effectuant une course d'essai au moyen d'un véhicule muni de plaques professionnelles n'était en l'espèce pas applicable. Par conséquent, la conclusion du recourant tendant à son acquittement de la contravention de conduite d'un véhicule non conforme aux prescriptions doit être rejetée. 5. Les autorités cantonales ont condamné le recourant pour violation simple des règles de la circulation routière au sens de l' art. 90 al. 1 LCR en lien avec l' art. 29 LCR . Cependant, l' art. 93 al. 2 let. a LCR étant une lex specialis , elles auraient en réalité dû condamner le recourant pour conduite d'un véhicule non conforme aux prescriptions sur la base de cette dernière disposition légale ( ATF 92 IV 143 consid. I; TF 6B_1099/2009 du 16 février 2010 consid. 3.1). Cela étant, les art. 90 al. 1 LCR et 93 al. 2 let. a LCR prévoient la même sanction et l'amende n'est pas contestée sous cet angle, de sorte qu'il n'en résulte aucune violation du droit fédéral ( ATF 92 IV 143 consid. I et l'arrêt cité). 6. En définitive, le recours doit être rejeté. Le recourant, qui succombe,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