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7B_741/2025 vom 28. Oktober 2025</w:t>
      </w:r>
    </w:p>
    <w:p>
      <w:r>
        <w:t>Bundesgericht, 2025-10-28, FR</w:t>
      </w:r>
    </w:p>
    <w:p>
      <w:r>
        <w:rPr>
          <w:b/>
        </w:rPr>
        <w:t xml:space="preserve">Quelle: </w:t>
      </w:r>
      <w:r>
        <w:t>https://mcp.opencaselaw.ch/entscheid/bger_7B_741_2025</w:t>
      </w:r>
    </w:p>
    <w:p>
      <w:r>
        <w:t>FR: TF 7B_741/2025 du 28 octobre 2025</w:t>
      </w:r>
    </w:p>
    <w:p>
      <w:r>
        <w:t>IT: TF 7B_741/2025 del 28 ottobre 2025</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l'autorité précédente a déclaré irrecevable le recours formé par le recourant contre l'ordonnance de non-entrée en matière du 11 juillet 2025. Elle a considéré que le recourant n'avait pas la qualité pour recourir, dès lors que l'ordonnance litigieuse lui était favorable: celle-ci n'entrait en effet pas en matière sur la dénonciation déposée contre lui. L'autorité précédente a encore relevé que le recourant aurait pu avoir un intérêt à recourir contre le refus du Ministère public de lui allouer une indemnité, mais qu'il n'avait pas soulevé de grief à cet égard (ordonnance attaquée, consid. 2.2).</w:t>
      </w:r>
    </w:p>
    <w:p>
      <w:r>
        <w:t>Dans son recours au Tribunal fédéral, le recourant se contente en substance de prétendre que l'autorité précédente aurait violé les art. 9 et 29 al. 2 Cst. , 6 CEDH et 7 CPP en refusant d'examiner "son opposition" à l'ordonnance de non-entrée en matière. Il ne discute toutefois pas des considérations de l'instance cantonale relatives à sa qualité pour recourir (cf. art. 381 al. 1 CPP ), ni ne démontre quel aurait été son intérêt à agir contre l'ordonnance litigieuse. Cette argumentation n'est ainsi pas de nature à démontrer l'existence d'une violation du droit fédéral (cf. art. 42 al. 1 et 2 LTF ) et moins encore celle d'un droit fondamental du recourant (cf. art. 106 al. 2 LTF ). Le recourant ne saurait au surplus conclure au renvoi de la cause à l'autorité précédente afin qu'elle instruise la plainte pénale qu'il a déposé contre la personne l'ayant dénoncé: ce grief sort de l'objet de la contestation qui est circonscrit à l'ordonnance attaquée (cf. arrêt 7B_905/2025 du 7 octobre 2025 consid. 2).</w:t>
      </w:r>
    </w:p>
    <w:p>
      <w:r>
        <w:rPr>
          <w:b/>
        </w:rPr>
        <w:t>E. 2</w:t>
      </w:r>
    </w:p>
    <w:p>
      <w:r>
        <w:t>L'irrecevabilité manifeste du recours doit dès lors être constatée dans la procédure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